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0" w:rsidRDefault="00637E14">
      <w:pPr>
        <w:jc w:val="center"/>
        <w:rPr>
          <w:b/>
          <w:sz w:val="28"/>
          <w:szCs w:val="28"/>
          <w:u w:val="single"/>
        </w:rPr>
      </w:pPr>
      <w:r>
        <w:rPr>
          <w:b/>
          <w:sz w:val="28"/>
          <w:szCs w:val="28"/>
          <w:u w:val="single"/>
        </w:rPr>
        <w:t>LEGAL MONITORING</w:t>
      </w:r>
      <w:r w:rsidR="008E6247">
        <w:rPr>
          <w:b/>
          <w:sz w:val="28"/>
          <w:szCs w:val="28"/>
          <w:u w:val="single"/>
        </w:rPr>
        <w:t>:</w:t>
      </w:r>
    </w:p>
    <w:p w:rsidR="00354870" w:rsidRDefault="008E6247">
      <w:pPr>
        <w:jc w:val="center"/>
        <w:rPr>
          <w:b/>
          <w:sz w:val="28"/>
          <w:szCs w:val="28"/>
          <w:u w:val="single"/>
        </w:rPr>
      </w:pPr>
      <w:r>
        <w:rPr>
          <w:b/>
          <w:sz w:val="28"/>
          <w:szCs w:val="28"/>
          <w:u w:val="single"/>
        </w:rPr>
        <w:t>Clean Energy Package</w:t>
      </w:r>
    </w:p>
    <w:tbl>
      <w:tblPr>
        <w:tblStyle w:val="Grilledutableau"/>
        <w:tblW w:w="0" w:type="auto"/>
        <w:tblLook w:val="04A0" w:firstRow="1" w:lastRow="0" w:firstColumn="1" w:lastColumn="0" w:noHBand="0" w:noVBand="1"/>
      </w:tblPr>
      <w:tblGrid>
        <w:gridCol w:w="9062"/>
      </w:tblGrid>
      <w:tr w:rsidR="00AC45AB" w:rsidTr="00AC45AB">
        <w:tc>
          <w:tcPr>
            <w:tcW w:w="9062" w:type="dxa"/>
          </w:tcPr>
          <w:p w:rsidR="00AC45AB" w:rsidRDefault="00AC45AB" w:rsidP="00AC45AB">
            <w:pPr>
              <w:jc w:val="both"/>
            </w:pPr>
          </w:p>
          <w:p w:rsidR="00AC45AB" w:rsidRDefault="00AC45AB" w:rsidP="00AC45AB">
            <w:pPr>
              <w:jc w:val="both"/>
            </w:pPr>
            <w:r>
              <w:t>As a reminder, the Clean Energy Package, also known as the Winter Package, empowers European consumers to become fully active players. Its principal goal is to accelerate and facilitate the clean energy transition to boost Europe's industrial competitiveness, growth and jobs, reduce energy costs, contribute to the reduction of energy poverty and improve air quality.</w:t>
            </w:r>
          </w:p>
          <w:p w:rsidR="00AC45AB" w:rsidRDefault="00AC45AB" w:rsidP="00AC45AB">
            <w:pPr>
              <w:jc w:val="both"/>
            </w:pPr>
          </w:p>
          <w:p w:rsidR="00AC45AB" w:rsidRDefault="00AC45AB" w:rsidP="00AC45AB">
            <w:pPr>
              <w:jc w:val="both"/>
              <w:rPr>
                <w:color w:val="202020"/>
              </w:rPr>
            </w:pPr>
            <w:bookmarkStart w:id="0" w:name="_heading=h.gjdgxs" w:colFirst="0" w:colLast="0"/>
            <w:bookmarkEnd w:id="0"/>
            <w:r>
              <w:rPr>
                <w:color w:val="202020"/>
              </w:rPr>
              <w:t>The Clean Energy Package offers some notable advances in terms of consumer protection</w:t>
            </w:r>
            <w:r>
              <w:rPr>
                <w:b/>
                <w:color w:val="202020"/>
              </w:rPr>
              <w:t>,</w:t>
            </w:r>
            <w:r>
              <w:rPr>
                <w:color w:val="202020"/>
              </w:rPr>
              <w:t xml:space="preserve"> including: more clarity on contractual rights (such as price changes and payment methods), more information provided to customers through smart meters, rules to ensure the transparency of price comparison tools and dynamic price contracts, the possibility for citizens to produce and consume their own energy, for example throughout citizens energy communities, and the possibility for Member States to tackle energy poverty. </w:t>
            </w:r>
          </w:p>
          <w:p w:rsidR="00AC45AB" w:rsidRDefault="00AC45AB" w:rsidP="00AC45AB">
            <w:pPr>
              <w:ind w:firstLine="708"/>
              <w:jc w:val="both"/>
            </w:pPr>
          </w:p>
          <w:p w:rsidR="00AC45AB" w:rsidRDefault="00AC45AB" w:rsidP="00AC45AB">
            <w:pPr>
              <w:jc w:val="both"/>
            </w:pPr>
            <w:r>
              <w:t xml:space="preserve">It lays down a new design for electricity market adapted to the new realities of the energy market. These new rules also aim to put consumer at the heart of the transition: giving them more choice, strengthening their right, keeping electricity stable, and enabling everyone to participate in the transition themselves by producing their self-produced energy consumption and feeding it into the grid. </w:t>
            </w:r>
          </w:p>
          <w:p w:rsidR="00AC45AB" w:rsidRDefault="00AC45AB" w:rsidP="00AC45AB">
            <w:pPr>
              <w:ind w:firstLine="360"/>
              <w:jc w:val="both"/>
            </w:pPr>
          </w:p>
          <w:p w:rsidR="00AC45AB" w:rsidRDefault="00AC45AB" w:rsidP="00AC45AB">
            <w:pPr>
              <w:jc w:val="both"/>
            </w:pPr>
            <w:r>
              <w:t>The Clean Energy Package contains eight different pieces of legislation:</w:t>
            </w:r>
          </w:p>
          <w:p w:rsidR="00E637C4" w:rsidRDefault="00E637C4" w:rsidP="00AC45AB">
            <w:pPr>
              <w:jc w:val="both"/>
            </w:pPr>
          </w:p>
          <w:p w:rsidR="00AC45AB" w:rsidRDefault="00AC45AB" w:rsidP="00AC45AB">
            <w:pPr>
              <w:numPr>
                <w:ilvl w:val="0"/>
                <w:numId w:val="1"/>
              </w:numPr>
              <w:pBdr>
                <w:top w:val="nil"/>
                <w:left w:val="nil"/>
                <w:bottom w:val="nil"/>
                <w:right w:val="nil"/>
                <w:between w:val="nil"/>
              </w:pBdr>
              <w:jc w:val="both"/>
              <w:rPr>
                <w:color w:val="000000"/>
              </w:rPr>
            </w:pPr>
            <w:r>
              <w:rPr>
                <w:b/>
                <w:color w:val="000000"/>
              </w:rPr>
              <w:t>Energy Performance in Buildings Directive</w:t>
            </w:r>
            <w:r>
              <w:rPr>
                <w:color w:val="000000"/>
              </w:rPr>
              <w:t xml:space="preserve"> of 30 May 2018 (EU Directive 2018/844) amending Directive 2010/31 / EU on the energy performance of buildings and Directive 2012/31 / EU on energy efficiency</w:t>
            </w:r>
          </w:p>
          <w:p w:rsidR="00AC45AB" w:rsidRDefault="00AC45AB" w:rsidP="00AC45AB">
            <w:pPr>
              <w:numPr>
                <w:ilvl w:val="0"/>
                <w:numId w:val="1"/>
              </w:numPr>
              <w:pBdr>
                <w:top w:val="nil"/>
                <w:left w:val="nil"/>
                <w:bottom w:val="nil"/>
                <w:right w:val="nil"/>
                <w:between w:val="nil"/>
              </w:pBdr>
              <w:jc w:val="both"/>
              <w:rPr>
                <w:color w:val="000000"/>
              </w:rPr>
            </w:pPr>
            <w:r>
              <w:rPr>
                <w:b/>
                <w:color w:val="000000"/>
              </w:rPr>
              <w:t>Renewable Energy Directive</w:t>
            </w:r>
            <w:r>
              <w:rPr>
                <w:color w:val="000000"/>
              </w:rPr>
              <w:t xml:space="preserve"> of 21 December 2018 (EU Directive 2018/2001)</w:t>
            </w:r>
          </w:p>
          <w:p w:rsidR="00AC45AB" w:rsidRDefault="00AC45AB" w:rsidP="00AC45AB">
            <w:pPr>
              <w:numPr>
                <w:ilvl w:val="0"/>
                <w:numId w:val="1"/>
              </w:numPr>
              <w:pBdr>
                <w:top w:val="nil"/>
                <w:left w:val="nil"/>
                <w:bottom w:val="nil"/>
                <w:right w:val="nil"/>
                <w:between w:val="nil"/>
              </w:pBdr>
              <w:jc w:val="both"/>
              <w:rPr>
                <w:color w:val="000000"/>
              </w:rPr>
            </w:pPr>
            <w:r>
              <w:rPr>
                <w:b/>
                <w:color w:val="000000"/>
              </w:rPr>
              <w:t>Energy Efficiency Directive</w:t>
            </w:r>
            <w:r>
              <w:rPr>
                <w:color w:val="000000"/>
              </w:rPr>
              <w:t xml:space="preserve"> of 21 December 2018 (EU Directive 2018/2002)</w:t>
            </w:r>
          </w:p>
          <w:p w:rsidR="00AC45AB" w:rsidRDefault="00AC45AB" w:rsidP="00AC45AB">
            <w:pPr>
              <w:numPr>
                <w:ilvl w:val="0"/>
                <w:numId w:val="1"/>
              </w:numPr>
              <w:pBdr>
                <w:top w:val="nil"/>
                <w:left w:val="nil"/>
                <w:bottom w:val="nil"/>
                <w:right w:val="nil"/>
                <w:between w:val="nil"/>
              </w:pBdr>
              <w:jc w:val="both"/>
              <w:rPr>
                <w:color w:val="000000"/>
              </w:rPr>
            </w:pPr>
            <w:r>
              <w:rPr>
                <w:b/>
                <w:color w:val="000000"/>
              </w:rPr>
              <w:t>Governance Regulation</w:t>
            </w:r>
            <w:r>
              <w:rPr>
                <w:color w:val="000000"/>
              </w:rPr>
              <w:t xml:space="preserve"> of 21 December 2018 (Regulation EU 2018/1999)</w:t>
            </w:r>
          </w:p>
          <w:p w:rsidR="00AC45AB" w:rsidRDefault="00AC45AB" w:rsidP="00AC45AB">
            <w:pPr>
              <w:numPr>
                <w:ilvl w:val="0"/>
                <w:numId w:val="1"/>
              </w:numPr>
              <w:pBdr>
                <w:top w:val="nil"/>
                <w:left w:val="nil"/>
                <w:bottom w:val="nil"/>
                <w:right w:val="nil"/>
                <w:between w:val="nil"/>
              </w:pBdr>
              <w:jc w:val="both"/>
              <w:rPr>
                <w:color w:val="000000"/>
              </w:rPr>
            </w:pPr>
            <w:r>
              <w:rPr>
                <w:b/>
                <w:color w:val="000000"/>
              </w:rPr>
              <w:t>Electricity Regulation</w:t>
            </w:r>
            <w:r>
              <w:rPr>
                <w:color w:val="000000"/>
              </w:rPr>
              <w:t xml:space="preserve"> of 14 June 2019 (Regulation EU 2019/943)</w:t>
            </w:r>
          </w:p>
          <w:p w:rsidR="00AC45AB" w:rsidRDefault="00AC45AB" w:rsidP="00AC45AB">
            <w:pPr>
              <w:numPr>
                <w:ilvl w:val="0"/>
                <w:numId w:val="1"/>
              </w:numPr>
              <w:pBdr>
                <w:top w:val="nil"/>
                <w:left w:val="nil"/>
                <w:bottom w:val="nil"/>
                <w:right w:val="nil"/>
                <w:between w:val="nil"/>
              </w:pBdr>
              <w:jc w:val="both"/>
              <w:rPr>
                <w:color w:val="000000"/>
              </w:rPr>
            </w:pPr>
            <w:r>
              <w:rPr>
                <w:b/>
                <w:color w:val="000000"/>
              </w:rPr>
              <w:t>Electricity Directive</w:t>
            </w:r>
            <w:r>
              <w:rPr>
                <w:color w:val="000000"/>
              </w:rPr>
              <w:t xml:space="preserve"> of 14 June 2019 (EU Directive 2019/944)</w:t>
            </w:r>
          </w:p>
          <w:p w:rsidR="00AC45AB" w:rsidRDefault="00AC45AB" w:rsidP="00AC45AB">
            <w:pPr>
              <w:numPr>
                <w:ilvl w:val="0"/>
                <w:numId w:val="1"/>
              </w:numPr>
              <w:pBdr>
                <w:top w:val="nil"/>
                <w:left w:val="nil"/>
                <w:bottom w:val="nil"/>
                <w:right w:val="nil"/>
                <w:between w:val="nil"/>
              </w:pBdr>
              <w:jc w:val="both"/>
              <w:rPr>
                <w:color w:val="000000"/>
              </w:rPr>
            </w:pPr>
            <w:r>
              <w:rPr>
                <w:b/>
                <w:color w:val="000000"/>
              </w:rPr>
              <w:t>Risk-Preparedness Regulation</w:t>
            </w:r>
            <w:r>
              <w:rPr>
                <w:color w:val="000000"/>
              </w:rPr>
              <w:t xml:space="preserve"> of 14 June 2019 (Regulation EU 2019/941)</w:t>
            </w:r>
          </w:p>
          <w:p w:rsidR="00AC45AB" w:rsidRDefault="00AC45AB" w:rsidP="00AC45AB">
            <w:pPr>
              <w:numPr>
                <w:ilvl w:val="0"/>
                <w:numId w:val="1"/>
              </w:numPr>
              <w:pBdr>
                <w:top w:val="nil"/>
                <w:left w:val="nil"/>
                <w:bottom w:val="nil"/>
                <w:right w:val="nil"/>
                <w:between w:val="nil"/>
              </w:pBdr>
              <w:jc w:val="both"/>
              <w:rPr>
                <w:color w:val="000000"/>
              </w:rPr>
            </w:pPr>
            <w:r>
              <w:rPr>
                <w:b/>
                <w:color w:val="000000"/>
              </w:rPr>
              <w:t>Regulation for the Agency for the Cooperation of Energy Regulators</w:t>
            </w:r>
            <w:r>
              <w:rPr>
                <w:color w:val="000000"/>
              </w:rPr>
              <w:t xml:space="preserve"> (ACER) of 14 June 2019 (Regulation EU 2019/942)</w:t>
            </w:r>
          </w:p>
          <w:p w:rsidR="00AC45AB" w:rsidRDefault="00AC45AB" w:rsidP="00AC45AB">
            <w:pPr>
              <w:jc w:val="both"/>
            </w:pPr>
          </w:p>
          <w:p w:rsidR="00AC45AB" w:rsidRDefault="00AC45AB" w:rsidP="00AC45AB">
            <w:pPr>
              <w:jc w:val="both"/>
            </w:pPr>
            <w:r>
              <w:t>These legislative acts have all been approved politically or formally by the co-legislators, the Council and the European Parliament.</w:t>
            </w:r>
          </w:p>
          <w:p w:rsidR="00AC45AB" w:rsidRDefault="00AC45AB" w:rsidP="00AC45AB">
            <w:pPr>
              <w:jc w:val="both"/>
            </w:pPr>
          </w:p>
        </w:tc>
      </w:tr>
    </w:tbl>
    <w:p w:rsidR="00AC45AB" w:rsidRDefault="00AC45AB">
      <w:pPr>
        <w:ind w:firstLine="360"/>
        <w:jc w:val="both"/>
      </w:pPr>
    </w:p>
    <w:p w:rsidR="00354870" w:rsidRDefault="008E6247">
      <w:pPr>
        <w:numPr>
          <w:ilvl w:val="0"/>
          <w:numId w:val="2"/>
        </w:numPr>
        <w:pBdr>
          <w:top w:val="nil"/>
          <w:left w:val="nil"/>
          <w:bottom w:val="nil"/>
          <w:right w:val="nil"/>
          <w:between w:val="nil"/>
        </w:pBdr>
        <w:jc w:val="both"/>
        <w:rPr>
          <w:b/>
          <w:color w:val="000000"/>
        </w:rPr>
      </w:pPr>
      <w:r>
        <w:rPr>
          <w:b/>
          <w:color w:val="000000"/>
        </w:rPr>
        <w:t>ENERGY PERFORMANCE IN BUILDINGS DIRECTIVE</w:t>
      </w:r>
    </w:p>
    <w:p w:rsidR="00354870" w:rsidRDefault="008E6247" w:rsidP="00E637C4">
      <w:pPr>
        <w:jc w:val="both"/>
      </w:pPr>
      <w:r>
        <w:t>EU has committed to cut CO2 emissions by at least 40% by 2030 while modernizing the EU's economy and delivering on jobs and growth for all European citizens. The building sector in the EU is the largest single energy consumer in Europe, absorbing 40% of final energy, and about 75% of buildings are energy inefficient. The construction industry generates about 9% of European GDP and accounts for 18 million direct jobs. Construction activities that include renovation work and energy retrofits add almost twice as much value as the construction of new buildings, and SMEs contribute more than 70% of the value added in the EU building sector.</w:t>
      </w:r>
    </w:p>
    <w:p w:rsidR="00637E14" w:rsidRDefault="00637E14">
      <w:pPr>
        <w:ind w:firstLine="360"/>
        <w:jc w:val="both"/>
      </w:pPr>
    </w:p>
    <w:p w:rsidR="00354870" w:rsidRDefault="008E6247">
      <w:pPr>
        <w:jc w:val="both"/>
      </w:pPr>
      <w:r>
        <w:rPr>
          <w:u w:val="single"/>
        </w:rPr>
        <w:t>The objectives of the revised directive are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Low and zero-emission building stock in the EU by 2050 by implementing national roadmaps to decarbonise buildings</w:t>
      </w:r>
    </w:p>
    <w:p w:rsidR="00354870" w:rsidRDefault="008E6247">
      <w:pPr>
        <w:numPr>
          <w:ilvl w:val="0"/>
          <w:numId w:val="3"/>
        </w:numPr>
        <w:pBdr>
          <w:top w:val="nil"/>
          <w:left w:val="nil"/>
          <w:bottom w:val="nil"/>
          <w:right w:val="nil"/>
          <w:between w:val="nil"/>
        </w:pBdr>
        <w:spacing w:after="0"/>
        <w:jc w:val="both"/>
        <w:rPr>
          <w:color w:val="000000"/>
        </w:rPr>
      </w:pPr>
      <w:r>
        <w:rPr>
          <w:color w:val="000000"/>
        </w:rPr>
        <w:t>New rules will make buildings smarter and more energy efficient, saving money by encouraging the use of information and communication technologies (ICTs) and smart technologies to ensure smooth operation buildings. For example, by introducing automation and control systems and developing e-mobility in buildings.</w:t>
      </w:r>
    </w:p>
    <w:p w:rsidR="00354870" w:rsidRDefault="008E6247">
      <w:pPr>
        <w:numPr>
          <w:ilvl w:val="0"/>
          <w:numId w:val="3"/>
        </w:numPr>
        <w:pBdr>
          <w:top w:val="nil"/>
          <w:left w:val="nil"/>
          <w:bottom w:val="nil"/>
          <w:right w:val="nil"/>
          <w:between w:val="nil"/>
        </w:pBdr>
        <w:spacing w:after="0"/>
        <w:jc w:val="both"/>
        <w:rPr>
          <w:color w:val="000000"/>
        </w:rPr>
      </w:pPr>
      <w:r>
        <w:rPr>
          <w:color w:val="000000"/>
        </w:rPr>
        <w:t>Job creation in the renovation and construction sector</w:t>
      </w:r>
    </w:p>
    <w:p w:rsidR="00354870" w:rsidRDefault="008E6247">
      <w:pPr>
        <w:numPr>
          <w:ilvl w:val="0"/>
          <w:numId w:val="3"/>
        </w:numPr>
        <w:pBdr>
          <w:top w:val="nil"/>
          <w:left w:val="nil"/>
          <w:bottom w:val="nil"/>
          <w:right w:val="nil"/>
          <w:between w:val="nil"/>
        </w:pBdr>
        <w:spacing w:after="0"/>
        <w:jc w:val="both"/>
        <w:rPr>
          <w:color w:val="000000"/>
        </w:rPr>
      </w:pPr>
      <w:r>
        <w:rPr>
          <w:color w:val="000000"/>
        </w:rPr>
        <w:t>Acceleration of the pace of renovation of buildings by mobilising public and private financing and investment for renovation activities and to strengthen long-term building renovation strategies.</w:t>
      </w:r>
    </w:p>
    <w:p w:rsidR="00354870" w:rsidRDefault="008E6247">
      <w:pPr>
        <w:numPr>
          <w:ilvl w:val="0"/>
          <w:numId w:val="3"/>
        </w:numPr>
        <w:pBdr>
          <w:top w:val="nil"/>
          <w:left w:val="nil"/>
          <w:bottom w:val="nil"/>
          <w:right w:val="nil"/>
          <w:between w:val="nil"/>
        </w:pBdr>
        <w:jc w:val="both"/>
        <w:rPr>
          <w:color w:val="000000"/>
        </w:rPr>
      </w:pPr>
      <w:r>
        <w:rPr>
          <w:color w:val="000000"/>
        </w:rPr>
        <w:t xml:space="preserve">Fight against energy poverty by reducing the household energy bills. </w:t>
      </w:r>
    </w:p>
    <w:p w:rsidR="00354870" w:rsidRDefault="008E6247">
      <w:pPr>
        <w:jc w:val="both"/>
      </w:pPr>
      <w:r>
        <w:t>In addition to these requirements, under the Energy efficiency directive (2012/27/EU), EU countries must make energy efficient renovations to at least 3% of the total floor area of buildings owned and occupied by central government, and national governments are recommended to only purchase buildings which are highly energy efficient.</w:t>
      </w:r>
    </w:p>
    <w:p w:rsidR="00354870" w:rsidRDefault="008E6247">
      <w:pPr>
        <w:jc w:val="both"/>
      </w:pPr>
      <w:r>
        <w:rPr>
          <w:u w:val="single"/>
        </w:rPr>
        <w:t>Consequences</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Reduction of the energy bill</w:t>
      </w:r>
    </w:p>
    <w:p w:rsidR="00354870" w:rsidRDefault="008E6247">
      <w:pPr>
        <w:numPr>
          <w:ilvl w:val="0"/>
          <w:numId w:val="3"/>
        </w:numPr>
        <w:pBdr>
          <w:top w:val="nil"/>
          <w:left w:val="nil"/>
          <w:bottom w:val="nil"/>
          <w:right w:val="nil"/>
          <w:between w:val="nil"/>
        </w:pBdr>
        <w:spacing w:after="0"/>
        <w:jc w:val="both"/>
        <w:rPr>
          <w:color w:val="000000"/>
        </w:rPr>
      </w:pPr>
      <w:r>
        <w:rPr>
          <w:color w:val="000000"/>
        </w:rPr>
        <w:t>Improved health, quality of life for Europeans</w:t>
      </w:r>
    </w:p>
    <w:p w:rsidR="00354870" w:rsidRDefault="008E6247">
      <w:pPr>
        <w:numPr>
          <w:ilvl w:val="0"/>
          <w:numId w:val="3"/>
        </w:numPr>
        <w:pBdr>
          <w:top w:val="nil"/>
          <w:left w:val="nil"/>
          <w:bottom w:val="nil"/>
          <w:right w:val="nil"/>
          <w:between w:val="nil"/>
        </w:pBdr>
        <w:spacing w:after="0"/>
        <w:jc w:val="both"/>
        <w:rPr>
          <w:color w:val="000000"/>
        </w:rPr>
      </w:pPr>
      <w:r>
        <w:rPr>
          <w:color w:val="000000"/>
        </w:rPr>
        <w:t>Environmental protection and reduction of emissions in the EU</w:t>
      </w:r>
    </w:p>
    <w:p w:rsidR="00354870" w:rsidRDefault="008E6247">
      <w:pPr>
        <w:numPr>
          <w:ilvl w:val="0"/>
          <w:numId w:val="3"/>
        </w:numPr>
        <w:pBdr>
          <w:top w:val="nil"/>
          <w:left w:val="nil"/>
          <w:bottom w:val="nil"/>
          <w:right w:val="nil"/>
          <w:between w:val="nil"/>
        </w:pBdr>
        <w:spacing w:after="0"/>
        <w:jc w:val="both"/>
        <w:rPr>
          <w:color w:val="000000"/>
        </w:rPr>
      </w:pPr>
      <w:r>
        <w:rPr>
          <w:color w:val="000000"/>
        </w:rPr>
        <w:t>Stabilization of the electricity network</w:t>
      </w:r>
    </w:p>
    <w:p w:rsidR="00354870" w:rsidRDefault="008E6247">
      <w:pPr>
        <w:numPr>
          <w:ilvl w:val="0"/>
          <w:numId w:val="3"/>
        </w:numPr>
        <w:pBdr>
          <w:top w:val="nil"/>
          <w:left w:val="nil"/>
          <w:bottom w:val="nil"/>
          <w:right w:val="nil"/>
          <w:between w:val="nil"/>
        </w:pBdr>
        <w:jc w:val="both"/>
        <w:rPr>
          <w:color w:val="000000"/>
        </w:rPr>
      </w:pPr>
      <w:r>
        <w:rPr>
          <w:color w:val="000000"/>
        </w:rPr>
        <w:t>Local job creation</w:t>
      </w:r>
    </w:p>
    <w:p w:rsidR="00354870" w:rsidRDefault="008E6247" w:rsidP="00E637C4">
      <w:pPr>
        <w:jc w:val="both"/>
      </w:pPr>
      <w:r>
        <w:t xml:space="preserve">Member States have until 10 March 2020 to transpose the new and revised provisions of the Directive into national law. The Energy performance of buildings directive requires that all new buildings must be nearly-zero energy buildings (NZEB) as of 31 December 2020. </w:t>
      </w:r>
    </w:p>
    <w:p w:rsidR="00354870" w:rsidRDefault="008E6247">
      <w:pPr>
        <w:numPr>
          <w:ilvl w:val="0"/>
          <w:numId w:val="2"/>
        </w:numPr>
        <w:pBdr>
          <w:top w:val="nil"/>
          <w:left w:val="nil"/>
          <w:bottom w:val="nil"/>
          <w:right w:val="nil"/>
          <w:between w:val="nil"/>
        </w:pBdr>
        <w:jc w:val="both"/>
        <w:rPr>
          <w:b/>
          <w:color w:val="000000"/>
        </w:rPr>
      </w:pPr>
      <w:r>
        <w:rPr>
          <w:b/>
          <w:color w:val="000000"/>
        </w:rPr>
        <w:t>RENEWABLE ENERGY DIRECTIVE</w:t>
      </w:r>
    </w:p>
    <w:p w:rsidR="00354870" w:rsidRDefault="008E6247" w:rsidP="00E637C4">
      <w:pPr>
        <w:jc w:val="both"/>
      </w:pPr>
      <w:r>
        <w:t>EU has committed to cut CO2 emissions by at least 40% by 2030, while modernizing the EU's economy and delivering on jobs and growth for all European citizens. By boosting renewable energy, which can be produced from a wide variety of sources including wind, solar, hydro, tidal, geothermal, and biomass, the EU lowers its dependence on imported fossil fuels and makes its energy production more sustainable. The renewable energy industry also drives technological innovation and employment across Europe. The EU has already adopted a number of measures to foster renewable energy in Europe:</w:t>
      </w:r>
    </w:p>
    <w:p w:rsidR="00354870" w:rsidRDefault="008E6247">
      <w:pPr>
        <w:numPr>
          <w:ilvl w:val="0"/>
          <w:numId w:val="1"/>
        </w:numPr>
        <w:pBdr>
          <w:top w:val="nil"/>
          <w:left w:val="nil"/>
          <w:bottom w:val="nil"/>
          <w:right w:val="nil"/>
          <w:between w:val="nil"/>
        </w:pBdr>
        <w:spacing w:after="0"/>
        <w:jc w:val="both"/>
        <w:rPr>
          <w:color w:val="000000"/>
        </w:rPr>
      </w:pPr>
      <w:r>
        <w:rPr>
          <w:color w:val="000000"/>
        </w:rPr>
        <w:t xml:space="preserve">The EU's Renewable energy directive from 2009 set a binding target of 20% final energy consumption from renewable sources by 2020. To achieve this, EU countries have committed to reaching their own national renewables targets. They are also each required to have at least 10% of their transport fuels come from renewable sources by 2020. However, the new directive establishes a new binding renewable energy target for the EU for 2030 of at least 32%, with a clause for a possible upwards revision by 2023. </w:t>
      </w:r>
    </w:p>
    <w:p w:rsidR="00354870" w:rsidRDefault="008E6247">
      <w:pPr>
        <w:numPr>
          <w:ilvl w:val="0"/>
          <w:numId w:val="1"/>
        </w:numPr>
        <w:pBdr>
          <w:top w:val="nil"/>
          <w:left w:val="nil"/>
          <w:bottom w:val="nil"/>
          <w:right w:val="nil"/>
          <w:between w:val="nil"/>
        </w:pBdr>
        <w:jc w:val="both"/>
        <w:rPr>
          <w:color w:val="000000"/>
        </w:rPr>
      </w:pPr>
      <w:r>
        <w:rPr>
          <w:color w:val="000000"/>
        </w:rPr>
        <w:t>All EU countries have adopted national renewable energy action plans showing what actions they intend to take to meet their renewables targets.</w:t>
      </w:r>
    </w:p>
    <w:p w:rsidR="00637E14" w:rsidRDefault="00637E14" w:rsidP="00637E14">
      <w:pPr>
        <w:pBdr>
          <w:top w:val="nil"/>
          <w:left w:val="nil"/>
          <w:bottom w:val="nil"/>
          <w:right w:val="nil"/>
          <w:between w:val="nil"/>
        </w:pBdr>
        <w:ind w:left="720"/>
        <w:jc w:val="both"/>
        <w:rPr>
          <w:color w:val="000000"/>
        </w:rPr>
      </w:pPr>
    </w:p>
    <w:p w:rsidR="00354870" w:rsidRDefault="008E6247">
      <w:pPr>
        <w:jc w:val="both"/>
      </w:pPr>
      <w:r>
        <w:rPr>
          <w:u w:val="single"/>
        </w:rPr>
        <w:t>The objectives of the revised directive are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To create an enabling environment to accelerate public and private investment in innovation and modernization in all key sectors taking into account the differences in the energy mix and economic structures across the EU.</w:t>
      </w:r>
    </w:p>
    <w:p w:rsidR="00354870" w:rsidRDefault="008E6247">
      <w:pPr>
        <w:numPr>
          <w:ilvl w:val="0"/>
          <w:numId w:val="3"/>
        </w:numPr>
        <w:pBdr>
          <w:top w:val="nil"/>
          <w:left w:val="nil"/>
          <w:bottom w:val="nil"/>
          <w:right w:val="nil"/>
          <w:between w:val="nil"/>
        </w:pBdr>
        <w:spacing w:after="0"/>
        <w:jc w:val="both"/>
        <w:rPr>
          <w:color w:val="000000"/>
        </w:rPr>
      </w:pPr>
      <w:r>
        <w:rPr>
          <w:color w:val="000000"/>
        </w:rPr>
        <w:t>To stimulate investments</w:t>
      </w:r>
    </w:p>
    <w:p w:rsidR="00354870" w:rsidRDefault="008E6247">
      <w:pPr>
        <w:numPr>
          <w:ilvl w:val="0"/>
          <w:numId w:val="3"/>
        </w:numPr>
        <w:pBdr>
          <w:top w:val="nil"/>
          <w:left w:val="nil"/>
          <w:bottom w:val="nil"/>
          <w:right w:val="nil"/>
          <w:between w:val="nil"/>
        </w:pBdr>
        <w:spacing w:after="0"/>
        <w:jc w:val="both"/>
        <w:rPr>
          <w:color w:val="000000"/>
        </w:rPr>
      </w:pPr>
      <w:r>
        <w:rPr>
          <w:color w:val="000000"/>
        </w:rPr>
        <w:t>To create jobs</w:t>
      </w:r>
    </w:p>
    <w:p w:rsidR="00354870" w:rsidRDefault="008E6247">
      <w:pPr>
        <w:numPr>
          <w:ilvl w:val="0"/>
          <w:numId w:val="3"/>
        </w:numPr>
        <w:pBdr>
          <w:top w:val="nil"/>
          <w:left w:val="nil"/>
          <w:bottom w:val="nil"/>
          <w:right w:val="nil"/>
          <w:between w:val="nil"/>
        </w:pBdr>
        <w:spacing w:after="0"/>
        <w:jc w:val="both"/>
        <w:rPr>
          <w:color w:val="000000"/>
        </w:rPr>
      </w:pPr>
      <w:r>
        <w:rPr>
          <w:color w:val="000000"/>
        </w:rPr>
        <w:t>To improve citizens' skills</w:t>
      </w:r>
    </w:p>
    <w:p w:rsidR="00354870" w:rsidRDefault="008E6247">
      <w:pPr>
        <w:numPr>
          <w:ilvl w:val="0"/>
          <w:numId w:val="3"/>
        </w:numPr>
        <w:pBdr>
          <w:top w:val="nil"/>
          <w:left w:val="nil"/>
          <w:bottom w:val="nil"/>
          <w:right w:val="nil"/>
          <w:between w:val="nil"/>
        </w:pBdr>
        <w:spacing w:after="0"/>
        <w:jc w:val="both"/>
        <w:rPr>
          <w:color w:val="000000"/>
        </w:rPr>
      </w:pPr>
      <w:r>
        <w:rPr>
          <w:color w:val="000000"/>
        </w:rPr>
        <w:t>To empower and innovate industries</w:t>
      </w:r>
    </w:p>
    <w:p w:rsidR="00354870" w:rsidRDefault="008E6247">
      <w:pPr>
        <w:numPr>
          <w:ilvl w:val="0"/>
          <w:numId w:val="3"/>
        </w:numPr>
        <w:pBdr>
          <w:top w:val="nil"/>
          <w:left w:val="nil"/>
          <w:bottom w:val="nil"/>
          <w:right w:val="nil"/>
          <w:between w:val="nil"/>
        </w:pBdr>
        <w:spacing w:after="0"/>
        <w:jc w:val="both"/>
        <w:rPr>
          <w:color w:val="000000"/>
        </w:rPr>
      </w:pPr>
      <w:r>
        <w:rPr>
          <w:color w:val="000000"/>
        </w:rPr>
        <w:t>To ensure that no citizen, worker or region is left behind.</w:t>
      </w:r>
    </w:p>
    <w:p w:rsidR="00354870" w:rsidRDefault="008E6247">
      <w:pPr>
        <w:numPr>
          <w:ilvl w:val="0"/>
          <w:numId w:val="3"/>
        </w:numPr>
        <w:pBdr>
          <w:top w:val="nil"/>
          <w:left w:val="nil"/>
          <w:bottom w:val="nil"/>
          <w:right w:val="nil"/>
          <w:between w:val="nil"/>
        </w:pBdr>
        <w:spacing w:after="0"/>
        <w:jc w:val="both"/>
        <w:rPr>
          <w:color w:val="000000"/>
        </w:rPr>
      </w:pPr>
      <w:r>
        <w:rPr>
          <w:color w:val="000000"/>
        </w:rPr>
        <w:t>To improved design and stability of renewable energy support schemes</w:t>
      </w:r>
    </w:p>
    <w:p w:rsidR="00354870" w:rsidRDefault="008E6247">
      <w:pPr>
        <w:numPr>
          <w:ilvl w:val="0"/>
          <w:numId w:val="3"/>
        </w:numPr>
        <w:pBdr>
          <w:top w:val="nil"/>
          <w:left w:val="nil"/>
          <w:bottom w:val="nil"/>
          <w:right w:val="nil"/>
          <w:between w:val="nil"/>
        </w:pBdr>
        <w:spacing w:after="0"/>
        <w:jc w:val="both"/>
        <w:rPr>
          <w:color w:val="000000"/>
        </w:rPr>
      </w:pPr>
      <w:r>
        <w:rPr>
          <w:color w:val="000000"/>
        </w:rPr>
        <w:t>To establish a clear and stable regulatory framework on self-consumption</w:t>
      </w:r>
    </w:p>
    <w:p w:rsidR="00354870" w:rsidRDefault="008E6247">
      <w:pPr>
        <w:numPr>
          <w:ilvl w:val="0"/>
          <w:numId w:val="3"/>
        </w:numPr>
        <w:pBdr>
          <w:top w:val="nil"/>
          <w:left w:val="nil"/>
          <w:bottom w:val="nil"/>
          <w:right w:val="nil"/>
          <w:between w:val="nil"/>
        </w:pBdr>
        <w:spacing w:after="0"/>
        <w:jc w:val="both"/>
        <w:rPr>
          <w:color w:val="000000"/>
        </w:rPr>
      </w:pPr>
      <w:r>
        <w:rPr>
          <w:color w:val="000000"/>
        </w:rPr>
        <w:t>The use of renewable energy in transport will become increasingly important for fuel suppliers to achieve at least 14% renewable energy in transport, while conventional biofuels with a high risk of indirect land-use change will be abolished by 2030</w:t>
      </w:r>
    </w:p>
    <w:p w:rsidR="00354870" w:rsidRDefault="008E6247">
      <w:pPr>
        <w:numPr>
          <w:ilvl w:val="0"/>
          <w:numId w:val="3"/>
        </w:numPr>
        <w:pBdr>
          <w:top w:val="nil"/>
          <w:left w:val="nil"/>
          <w:bottom w:val="nil"/>
          <w:right w:val="nil"/>
          <w:between w:val="nil"/>
        </w:pBdr>
        <w:jc w:val="both"/>
        <w:rPr>
          <w:color w:val="000000"/>
        </w:rPr>
      </w:pPr>
      <w:r>
        <w:rPr>
          <w:color w:val="000000"/>
        </w:rPr>
        <w:t>Households wishing to produce their own renewable energy, for example through rooftop solar panels, will be supported by a large volume of charges or charges for their own energy consumption.</w:t>
      </w:r>
    </w:p>
    <w:p w:rsidR="00354870" w:rsidRDefault="008E6247">
      <w:pPr>
        <w:jc w:val="both"/>
      </w:pPr>
      <w:r>
        <w:rPr>
          <w:u w:val="single"/>
        </w:rPr>
        <w:t>The implementation of the Directive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Will enable Europe to maintain its leading role in the fight against climate change, in the transition to clean energy and in achieving the objectives set by the Paris Agreement</w:t>
      </w:r>
    </w:p>
    <w:p w:rsidR="00354870" w:rsidRDefault="008E6247">
      <w:pPr>
        <w:numPr>
          <w:ilvl w:val="0"/>
          <w:numId w:val="3"/>
        </w:numPr>
        <w:pBdr>
          <w:top w:val="nil"/>
          <w:left w:val="nil"/>
          <w:bottom w:val="nil"/>
          <w:right w:val="nil"/>
          <w:between w:val="nil"/>
        </w:pBdr>
        <w:spacing w:after="0"/>
        <w:jc w:val="both"/>
        <w:rPr>
          <w:color w:val="000000"/>
        </w:rPr>
      </w:pPr>
      <w:r>
        <w:rPr>
          <w:color w:val="000000"/>
        </w:rPr>
        <w:t>Will enable to provide more jobs</w:t>
      </w:r>
    </w:p>
    <w:p w:rsidR="00354870" w:rsidRDefault="008E6247">
      <w:pPr>
        <w:numPr>
          <w:ilvl w:val="0"/>
          <w:numId w:val="3"/>
        </w:numPr>
        <w:pBdr>
          <w:top w:val="nil"/>
          <w:left w:val="nil"/>
          <w:bottom w:val="nil"/>
          <w:right w:val="nil"/>
          <w:between w:val="nil"/>
        </w:pBdr>
        <w:spacing w:after="0"/>
        <w:jc w:val="both"/>
        <w:rPr>
          <w:color w:val="000000"/>
        </w:rPr>
      </w:pPr>
      <w:r>
        <w:rPr>
          <w:color w:val="000000"/>
        </w:rPr>
        <w:t>Will reduce the energy bill for consumers</w:t>
      </w:r>
    </w:p>
    <w:p w:rsidR="00354870" w:rsidRDefault="008E6247">
      <w:pPr>
        <w:numPr>
          <w:ilvl w:val="0"/>
          <w:numId w:val="3"/>
        </w:numPr>
        <w:pBdr>
          <w:top w:val="nil"/>
          <w:left w:val="nil"/>
          <w:bottom w:val="nil"/>
          <w:right w:val="nil"/>
          <w:between w:val="nil"/>
        </w:pBdr>
        <w:spacing w:after="0"/>
        <w:jc w:val="both"/>
        <w:rPr>
          <w:color w:val="000000"/>
        </w:rPr>
      </w:pPr>
      <w:r>
        <w:rPr>
          <w:color w:val="000000"/>
        </w:rPr>
        <w:t>Will reduce of energy imports</w:t>
      </w:r>
    </w:p>
    <w:p w:rsidR="00354870" w:rsidRDefault="008E6247">
      <w:pPr>
        <w:numPr>
          <w:ilvl w:val="0"/>
          <w:numId w:val="3"/>
        </w:numPr>
        <w:pBdr>
          <w:top w:val="nil"/>
          <w:left w:val="nil"/>
          <w:bottom w:val="nil"/>
          <w:right w:val="nil"/>
          <w:between w:val="nil"/>
        </w:pBdr>
        <w:spacing w:after="0"/>
        <w:jc w:val="both"/>
        <w:rPr>
          <w:color w:val="000000"/>
        </w:rPr>
      </w:pPr>
      <w:r>
        <w:rPr>
          <w:color w:val="000000"/>
        </w:rPr>
        <w:t>Will provide a real streamlining and reduction of administrative procedures</w:t>
      </w:r>
    </w:p>
    <w:p w:rsidR="00354870" w:rsidRDefault="008E6247">
      <w:pPr>
        <w:numPr>
          <w:ilvl w:val="0"/>
          <w:numId w:val="3"/>
        </w:numPr>
        <w:pBdr>
          <w:top w:val="nil"/>
          <w:left w:val="nil"/>
          <w:bottom w:val="nil"/>
          <w:right w:val="nil"/>
          <w:between w:val="nil"/>
        </w:pBdr>
        <w:jc w:val="both"/>
        <w:rPr>
          <w:color w:val="000000"/>
        </w:rPr>
      </w:pPr>
      <w:r>
        <w:rPr>
          <w:color w:val="000000"/>
        </w:rPr>
        <w:t>Will improve the sustainability of bioenergy use</w:t>
      </w:r>
    </w:p>
    <w:p w:rsidR="00354870" w:rsidRDefault="008E6247" w:rsidP="00E637C4">
      <w:pPr>
        <w:spacing w:after="0"/>
        <w:jc w:val="both"/>
      </w:pPr>
      <w:r>
        <w:rPr>
          <w:u w:val="single"/>
        </w:rPr>
        <w:t>What’s next?</w:t>
      </w:r>
      <w:r>
        <w:t xml:space="preserve"> Under the new Governance regulation, which is also part of the </w:t>
      </w:r>
      <w:proofErr w:type="gramStart"/>
      <w:r>
        <w:t>Clean</w:t>
      </w:r>
      <w:proofErr w:type="gramEnd"/>
      <w:r>
        <w:t xml:space="preserve"> energy for all Europeans package, EU countries are required to draft 10-year National Energy &amp; Climate Plans (NECPs) for 2021-2030, outlining how they will meet the new 2030 targets for renewable energy and for energy efficiency. Member States needed to submit a draft NECP by 31 December 2018 and should be ready to submit the final plans to the European Commission by 31 December 2019.</w:t>
      </w:r>
    </w:p>
    <w:p w:rsidR="00354870" w:rsidRDefault="00354870">
      <w:pPr>
        <w:spacing w:after="0"/>
        <w:jc w:val="both"/>
      </w:pPr>
    </w:p>
    <w:p w:rsidR="00354870" w:rsidRDefault="008E6247" w:rsidP="00E637C4">
      <w:pPr>
        <w:spacing w:after="0"/>
        <w:jc w:val="both"/>
      </w:pPr>
      <w:r>
        <w:t xml:space="preserve">Most of the other new elements in the new directive need to be transposed into national law by Member States by 30 June 2021.   </w:t>
      </w:r>
    </w:p>
    <w:p w:rsidR="00354870" w:rsidRDefault="00354870" w:rsidP="00E637C4">
      <w:pPr>
        <w:spacing w:after="0"/>
        <w:jc w:val="both"/>
      </w:pPr>
    </w:p>
    <w:p w:rsidR="00354870" w:rsidRDefault="008E6247" w:rsidP="00E637C4">
      <w:pPr>
        <w:spacing w:after="0"/>
        <w:jc w:val="both"/>
      </w:pPr>
      <w:r>
        <w:t xml:space="preserve">Recommendations on how EU countries should implement the revised building renovation aspects of the Energy performance of buildings directive (EPBD) have been published by the European Commission on May 16, 2019. </w:t>
      </w:r>
    </w:p>
    <w:p w:rsidR="00354870" w:rsidRDefault="00354870">
      <w:pPr>
        <w:spacing w:after="0"/>
        <w:jc w:val="both"/>
      </w:pPr>
    </w:p>
    <w:p w:rsidR="00354870" w:rsidRDefault="008E6247">
      <w:pPr>
        <w:numPr>
          <w:ilvl w:val="0"/>
          <w:numId w:val="2"/>
        </w:numPr>
        <w:pBdr>
          <w:top w:val="nil"/>
          <w:left w:val="nil"/>
          <w:bottom w:val="nil"/>
          <w:right w:val="nil"/>
          <w:between w:val="nil"/>
        </w:pBdr>
        <w:jc w:val="both"/>
        <w:rPr>
          <w:b/>
          <w:color w:val="000000"/>
        </w:rPr>
      </w:pPr>
      <w:r>
        <w:rPr>
          <w:b/>
          <w:color w:val="000000"/>
        </w:rPr>
        <w:t>ENERGY EFFICIENCY DIRECTIVE</w:t>
      </w:r>
    </w:p>
    <w:p w:rsidR="00354870" w:rsidRDefault="008E6247">
      <w:pPr>
        <w:jc w:val="both"/>
      </w:pPr>
      <w:r>
        <w:t xml:space="preserve">By using energy more efficiently, Europeans may lower their energy bills, live in more comfortable and healthy dwellings, reduce their reliance on external suppliers of oil and gas, improve local air quality, and help to protect the environment. Energy efficiency has to be increased at all stages of the energy chain, from generation to final consumption. At the same time, the benefits of energy efficiency must </w:t>
      </w:r>
      <w:r>
        <w:lastRenderedPageBreak/>
        <w:t>outweigh the costs, for instance those resulting from carrying out renovations. EU measures therefore focus on sectors where the potential for savings is greatest, such as buildings. The EU has set itself a 20% energy savings target by 2020 (when compared to the projected use of energy in 2020). However, this objective has been revised to include an energy efficiency target for the EU for 2030 of 32.5% with an upwards revision clause by 2023.</w:t>
      </w:r>
    </w:p>
    <w:p w:rsidR="00354870" w:rsidRDefault="008E6247">
      <w:pPr>
        <w:jc w:val="both"/>
      </w:pPr>
      <w:r>
        <w:rPr>
          <w:u w:val="single"/>
        </w:rPr>
        <w:t>The objectives of the revised directive are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To extend the annual energy saving obligation beyond 2020, which will attract private investments and support the emergence of new market actors</w:t>
      </w:r>
    </w:p>
    <w:p w:rsidR="00354870" w:rsidRDefault="008E6247">
      <w:pPr>
        <w:numPr>
          <w:ilvl w:val="0"/>
          <w:numId w:val="3"/>
        </w:numPr>
        <w:pBdr>
          <w:top w:val="nil"/>
          <w:left w:val="nil"/>
          <w:bottom w:val="nil"/>
          <w:right w:val="nil"/>
          <w:between w:val="nil"/>
        </w:pBdr>
        <w:spacing w:after="0"/>
        <w:jc w:val="both"/>
        <w:rPr>
          <w:color w:val="000000"/>
        </w:rPr>
      </w:pPr>
      <w:r>
        <w:rPr>
          <w:color w:val="000000"/>
        </w:rPr>
        <w:t>EU countries must put measures in place to save on average 4.4% of their annual energy consumption between now and 2030.</w:t>
      </w:r>
    </w:p>
    <w:p w:rsidR="00354870" w:rsidRDefault="008E6247">
      <w:pPr>
        <w:numPr>
          <w:ilvl w:val="0"/>
          <w:numId w:val="3"/>
        </w:numPr>
        <w:pBdr>
          <w:top w:val="nil"/>
          <w:left w:val="nil"/>
          <w:bottom w:val="nil"/>
          <w:right w:val="nil"/>
          <w:between w:val="nil"/>
        </w:pBdr>
        <w:spacing w:after="0"/>
        <w:jc w:val="both"/>
        <w:rPr>
          <w:color w:val="000000"/>
        </w:rPr>
      </w:pPr>
      <w:r>
        <w:rPr>
          <w:color w:val="000000"/>
        </w:rPr>
        <w:t>To strengthen the rules on the individual metering and billing of thermal energy by giving consumers, (especially those in apartment buildings with collective heating systems), clearer rights to receive more frequent and more useful on their energy consumption, allowing them to better understand and control their consumption.</w:t>
      </w:r>
    </w:p>
    <w:p w:rsidR="00354870" w:rsidRDefault="008E6247">
      <w:pPr>
        <w:numPr>
          <w:ilvl w:val="0"/>
          <w:numId w:val="3"/>
        </w:numPr>
        <w:pBdr>
          <w:top w:val="nil"/>
          <w:left w:val="nil"/>
          <w:bottom w:val="nil"/>
          <w:right w:val="nil"/>
          <w:between w:val="nil"/>
        </w:pBdr>
        <w:spacing w:after="0"/>
        <w:jc w:val="both"/>
        <w:rPr>
          <w:color w:val="000000"/>
        </w:rPr>
      </w:pPr>
      <w:r>
        <w:rPr>
          <w:color w:val="000000"/>
        </w:rPr>
        <w:t>To establish transparent and publicly available national rules on the distribution of heating, cooling and hot water costs in multi-apartment and multi-use buildings with collective systems for these services.</w:t>
      </w:r>
    </w:p>
    <w:p w:rsidR="00354870" w:rsidRDefault="008E6247">
      <w:pPr>
        <w:numPr>
          <w:ilvl w:val="0"/>
          <w:numId w:val="3"/>
        </w:numPr>
        <w:pBdr>
          <w:top w:val="nil"/>
          <w:left w:val="nil"/>
          <w:bottom w:val="nil"/>
          <w:right w:val="nil"/>
          <w:between w:val="nil"/>
        </w:pBdr>
        <w:spacing w:after="0"/>
        <w:jc w:val="both"/>
        <w:rPr>
          <w:color w:val="000000"/>
        </w:rPr>
      </w:pPr>
      <w:r>
        <w:rPr>
          <w:color w:val="000000"/>
        </w:rPr>
        <w:t>To achieve annually between 2021 and 2030 energy savings of 0.8% (0.24% in the case of Cyprus and Malta) of annual final energy consumption and flexibility for Member States to comply with this obligation.</w:t>
      </w:r>
    </w:p>
    <w:p w:rsidR="00354870" w:rsidRDefault="008E6247">
      <w:pPr>
        <w:numPr>
          <w:ilvl w:val="0"/>
          <w:numId w:val="3"/>
        </w:numPr>
        <w:pBdr>
          <w:top w:val="nil"/>
          <w:left w:val="nil"/>
          <w:bottom w:val="nil"/>
          <w:right w:val="nil"/>
          <w:between w:val="nil"/>
        </w:pBdr>
        <w:jc w:val="both"/>
        <w:rPr>
          <w:color w:val="000000"/>
        </w:rPr>
      </w:pPr>
      <w:r>
        <w:rPr>
          <w:color w:val="000000"/>
        </w:rPr>
        <w:t xml:space="preserve">To monitor efficiency levels in new energy generation capacities. </w:t>
      </w:r>
    </w:p>
    <w:p w:rsidR="00354870" w:rsidRDefault="008E6247">
      <w:pPr>
        <w:jc w:val="both"/>
      </w:pPr>
      <w:r>
        <w:rPr>
          <w:u w:val="single"/>
        </w:rPr>
        <w:t>Consequences</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Increase security of supply, competitiveness of EU industries</w:t>
      </w:r>
    </w:p>
    <w:p w:rsidR="00354870" w:rsidRDefault="008E6247">
      <w:pPr>
        <w:numPr>
          <w:ilvl w:val="0"/>
          <w:numId w:val="3"/>
        </w:numPr>
        <w:pBdr>
          <w:top w:val="nil"/>
          <w:left w:val="nil"/>
          <w:bottom w:val="nil"/>
          <w:right w:val="nil"/>
          <w:between w:val="nil"/>
        </w:pBdr>
        <w:spacing w:after="0"/>
        <w:jc w:val="both"/>
        <w:rPr>
          <w:color w:val="000000"/>
        </w:rPr>
      </w:pPr>
      <w:r>
        <w:rPr>
          <w:color w:val="000000"/>
        </w:rPr>
        <w:t>Reduction of consumers' energy bills</w:t>
      </w:r>
    </w:p>
    <w:p w:rsidR="00354870" w:rsidRDefault="008E6247">
      <w:pPr>
        <w:numPr>
          <w:ilvl w:val="0"/>
          <w:numId w:val="3"/>
        </w:numPr>
        <w:pBdr>
          <w:top w:val="nil"/>
          <w:left w:val="nil"/>
          <w:bottom w:val="nil"/>
          <w:right w:val="nil"/>
          <w:between w:val="nil"/>
        </w:pBdr>
        <w:spacing w:after="0"/>
        <w:jc w:val="both"/>
        <w:rPr>
          <w:color w:val="000000"/>
        </w:rPr>
      </w:pPr>
      <w:r>
        <w:rPr>
          <w:color w:val="000000"/>
        </w:rPr>
        <w:t>Reduction of health costs</w:t>
      </w:r>
    </w:p>
    <w:p w:rsidR="00354870" w:rsidRDefault="008E6247">
      <w:pPr>
        <w:numPr>
          <w:ilvl w:val="0"/>
          <w:numId w:val="3"/>
        </w:numPr>
        <w:pBdr>
          <w:top w:val="nil"/>
          <w:left w:val="nil"/>
          <w:bottom w:val="nil"/>
          <w:right w:val="nil"/>
          <w:between w:val="nil"/>
        </w:pBdr>
        <w:spacing w:after="0"/>
        <w:jc w:val="both"/>
        <w:rPr>
          <w:color w:val="000000"/>
        </w:rPr>
      </w:pPr>
      <w:r>
        <w:rPr>
          <w:color w:val="000000"/>
        </w:rPr>
        <w:t>Creating opportunities for growth, jobs and investments for the benefit of European consumers</w:t>
      </w:r>
    </w:p>
    <w:p w:rsidR="00354870" w:rsidRDefault="008E6247">
      <w:pPr>
        <w:numPr>
          <w:ilvl w:val="0"/>
          <w:numId w:val="3"/>
        </w:numPr>
        <w:pBdr>
          <w:top w:val="nil"/>
          <w:left w:val="nil"/>
          <w:bottom w:val="nil"/>
          <w:right w:val="nil"/>
          <w:between w:val="nil"/>
        </w:pBdr>
        <w:spacing w:after="0"/>
        <w:jc w:val="both"/>
        <w:rPr>
          <w:color w:val="000000"/>
        </w:rPr>
      </w:pPr>
      <w:r>
        <w:rPr>
          <w:color w:val="000000"/>
        </w:rPr>
        <w:t>Reduction of energy poverty</w:t>
      </w:r>
    </w:p>
    <w:p w:rsidR="00354870" w:rsidRDefault="008E6247">
      <w:pPr>
        <w:numPr>
          <w:ilvl w:val="0"/>
          <w:numId w:val="3"/>
        </w:numPr>
        <w:pBdr>
          <w:top w:val="nil"/>
          <w:left w:val="nil"/>
          <w:bottom w:val="nil"/>
          <w:right w:val="nil"/>
          <w:between w:val="nil"/>
        </w:pBdr>
        <w:jc w:val="both"/>
        <w:rPr>
          <w:color w:val="000000"/>
        </w:rPr>
      </w:pPr>
      <w:r>
        <w:rPr>
          <w:color w:val="000000"/>
        </w:rPr>
        <w:t>Improved air quality</w:t>
      </w:r>
    </w:p>
    <w:p w:rsidR="00354870" w:rsidRDefault="008E6247" w:rsidP="00E637C4">
      <w:pPr>
        <w:jc w:val="both"/>
      </w:pPr>
      <w:r>
        <w:t xml:space="preserve">To help officials in EU countries implement the Energy Efficiency Directive, the European Commission published </w:t>
      </w:r>
      <w:hyperlink r:id="rId9">
        <w:r>
          <w:rPr>
            <w:color w:val="0563C1"/>
            <w:u w:val="single"/>
          </w:rPr>
          <w:t>guidance notes</w:t>
        </w:r>
      </w:hyperlink>
      <w:r>
        <w:t>.</w:t>
      </w:r>
    </w:p>
    <w:p w:rsidR="00354870" w:rsidRDefault="008E6247" w:rsidP="00E637C4">
      <w:pPr>
        <w:jc w:val="both"/>
      </w:pPr>
      <w:r>
        <w:t>Member States have to transpose the new elements of the Directive into national law 18 months after its entry into force (24 D</w:t>
      </w:r>
      <w:r w:rsidR="00AF783E">
        <w:t>e</w:t>
      </w:r>
      <w:r>
        <w:t>cember 2018).</w:t>
      </w:r>
    </w:p>
    <w:p w:rsidR="00354870" w:rsidRDefault="008E6247">
      <w:pPr>
        <w:numPr>
          <w:ilvl w:val="0"/>
          <w:numId w:val="2"/>
        </w:numPr>
        <w:pBdr>
          <w:top w:val="nil"/>
          <w:left w:val="nil"/>
          <w:bottom w:val="nil"/>
          <w:right w:val="nil"/>
          <w:between w:val="nil"/>
        </w:pBdr>
        <w:jc w:val="both"/>
        <w:rPr>
          <w:b/>
          <w:color w:val="000000"/>
        </w:rPr>
      </w:pPr>
      <w:r>
        <w:rPr>
          <w:b/>
          <w:color w:val="000000"/>
        </w:rPr>
        <w:t>GOVERNANCE REGULATION</w:t>
      </w:r>
    </w:p>
    <w:p w:rsidR="00354870" w:rsidRDefault="008E6247" w:rsidP="00E637C4">
      <w:pPr>
        <w:jc w:val="both"/>
      </w:pPr>
      <w:r>
        <w:t>This regulation aims to guarantee all Europeans access to safe, affordable and climate-friendly energy, as well as a long-term reduction of greenhouse gases. It highlights the importance of regional cooperation in the development and implementation of energy and climate policies.</w:t>
      </w:r>
    </w:p>
    <w:p w:rsidR="00354870" w:rsidRDefault="008E6247">
      <w:pPr>
        <w:jc w:val="both"/>
      </w:pPr>
      <w:r>
        <w:rPr>
          <w:u w:val="single"/>
        </w:rPr>
        <w:t>The objectives of the Regulation are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Harmonization of national policies with regard to EU objectives, while allowing each country the opportunity to adapt to national conditions and needs. And taking into account climate change.</w:t>
      </w:r>
    </w:p>
    <w:p w:rsidR="00354870" w:rsidRDefault="008E6247">
      <w:pPr>
        <w:numPr>
          <w:ilvl w:val="0"/>
          <w:numId w:val="3"/>
        </w:numPr>
        <w:pBdr>
          <w:top w:val="nil"/>
          <w:left w:val="nil"/>
          <w:bottom w:val="nil"/>
          <w:right w:val="nil"/>
          <w:between w:val="nil"/>
        </w:pBdr>
        <w:spacing w:after="0"/>
        <w:jc w:val="both"/>
        <w:rPr>
          <w:color w:val="000000"/>
        </w:rPr>
      </w:pPr>
      <w:r>
        <w:rPr>
          <w:color w:val="000000"/>
        </w:rPr>
        <w:t>Encourage citizens to participate in the preparation of plans</w:t>
      </w:r>
    </w:p>
    <w:p w:rsidR="00354870" w:rsidRDefault="008E6247">
      <w:pPr>
        <w:numPr>
          <w:ilvl w:val="0"/>
          <w:numId w:val="3"/>
        </w:numPr>
        <w:pBdr>
          <w:top w:val="nil"/>
          <w:left w:val="nil"/>
          <w:bottom w:val="nil"/>
          <w:right w:val="nil"/>
          <w:between w:val="nil"/>
        </w:pBdr>
        <w:spacing w:after="0"/>
        <w:jc w:val="both"/>
        <w:rPr>
          <w:color w:val="000000"/>
        </w:rPr>
      </w:pPr>
      <w:r>
        <w:rPr>
          <w:color w:val="000000"/>
        </w:rPr>
        <w:lastRenderedPageBreak/>
        <w:t xml:space="preserve">Give priority to quality rather than quantity </w:t>
      </w:r>
    </w:p>
    <w:p w:rsidR="00354870" w:rsidRDefault="008E6247">
      <w:pPr>
        <w:numPr>
          <w:ilvl w:val="0"/>
          <w:numId w:val="3"/>
        </w:numPr>
        <w:pBdr>
          <w:top w:val="nil"/>
          <w:left w:val="nil"/>
          <w:bottom w:val="nil"/>
          <w:right w:val="nil"/>
          <w:between w:val="nil"/>
        </w:pBdr>
        <w:spacing w:after="0"/>
        <w:jc w:val="both"/>
        <w:rPr>
          <w:color w:val="000000"/>
        </w:rPr>
      </w:pPr>
      <w:r>
        <w:rPr>
          <w:color w:val="000000"/>
        </w:rPr>
        <w:t>Strengthen regional cooperation in all dimensions of the Energy Union</w:t>
      </w:r>
    </w:p>
    <w:p w:rsidR="00354870" w:rsidRDefault="008E6247">
      <w:pPr>
        <w:numPr>
          <w:ilvl w:val="0"/>
          <w:numId w:val="3"/>
        </w:numPr>
        <w:pBdr>
          <w:top w:val="nil"/>
          <w:left w:val="nil"/>
          <w:bottom w:val="nil"/>
          <w:right w:val="nil"/>
          <w:between w:val="nil"/>
        </w:pBdr>
        <w:spacing w:after="0"/>
        <w:jc w:val="both"/>
        <w:rPr>
          <w:color w:val="000000"/>
        </w:rPr>
      </w:pPr>
      <w:r>
        <w:rPr>
          <w:color w:val="000000"/>
        </w:rPr>
        <w:t>Fight against climate change</w:t>
      </w:r>
    </w:p>
    <w:p w:rsidR="00354870" w:rsidRDefault="008E6247">
      <w:pPr>
        <w:numPr>
          <w:ilvl w:val="0"/>
          <w:numId w:val="3"/>
        </w:numPr>
        <w:pBdr>
          <w:top w:val="nil"/>
          <w:left w:val="nil"/>
          <w:bottom w:val="nil"/>
          <w:right w:val="nil"/>
          <w:between w:val="nil"/>
        </w:pBdr>
        <w:jc w:val="both"/>
        <w:rPr>
          <w:color w:val="000000"/>
        </w:rPr>
      </w:pPr>
      <w:r>
        <w:rPr>
          <w:color w:val="000000"/>
        </w:rPr>
        <w:t xml:space="preserve">Replacing the existing monitoring and reporting systems from 2021 onwards. </w:t>
      </w:r>
    </w:p>
    <w:p w:rsidR="00354870" w:rsidRDefault="008E6247">
      <w:pPr>
        <w:jc w:val="both"/>
      </w:pPr>
      <w:r>
        <w:rPr>
          <w:u w:val="single"/>
        </w:rPr>
        <w:t>Consequences</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Promoting long-term transparency, security and predictability for investors</w:t>
      </w:r>
    </w:p>
    <w:p w:rsidR="00354870" w:rsidRDefault="008E6247">
      <w:pPr>
        <w:numPr>
          <w:ilvl w:val="0"/>
          <w:numId w:val="3"/>
        </w:numPr>
        <w:pBdr>
          <w:top w:val="nil"/>
          <w:left w:val="nil"/>
          <w:bottom w:val="nil"/>
          <w:right w:val="nil"/>
          <w:between w:val="nil"/>
        </w:pBdr>
        <w:spacing w:after="0"/>
        <w:jc w:val="both"/>
        <w:rPr>
          <w:color w:val="000000"/>
        </w:rPr>
      </w:pPr>
      <w:r>
        <w:rPr>
          <w:color w:val="000000"/>
        </w:rPr>
        <w:t>Creation of new jobs</w:t>
      </w:r>
    </w:p>
    <w:p w:rsidR="00354870" w:rsidRDefault="008E6247">
      <w:pPr>
        <w:numPr>
          <w:ilvl w:val="0"/>
          <w:numId w:val="3"/>
        </w:numPr>
        <w:pBdr>
          <w:top w:val="nil"/>
          <w:left w:val="nil"/>
          <w:bottom w:val="nil"/>
          <w:right w:val="nil"/>
          <w:between w:val="nil"/>
        </w:pBdr>
        <w:spacing w:after="0"/>
        <w:jc w:val="both"/>
        <w:rPr>
          <w:color w:val="000000"/>
        </w:rPr>
      </w:pPr>
      <w:r>
        <w:rPr>
          <w:color w:val="000000"/>
        </w:rPr>
        <w:t>Reduction of the energy bill</w:t>
      </w:r>
    </w:p>
    <w:p w:rsidR="00354870" w:rsidRDefault="008E6247">
      <w:pPr>
        <w:numPr>
          <w:ilvl w:val="0"/>
          <w:numId w:val="3"/>
        </w:numPr>
        <w:pBdr>
          <w:top w:val="nil"/>
          <w:left w:val="nil"/>
          <w:bottom w:val="nil"/>
          <w:right w:val="nil"/>
          <w:between w:val="nil"/>
        </w:pBdr>
        <w:spacing w:after="0"/>
        <w:jc w:val="both"/>
        <w:rPr>
          <w:color w:val="000000"/>
        </w:rPr>
      </w:pPr>
      <w:r>
        <w:rPr>
          <w:color w:val="000000"/>
        </w:rPr>
        <w:t>Reduction of costly energy imports in the EU</w:t>
      </w:r>
    </w:p>
    <w:p w:rsidR="00354870" w:rsidRDefault="008E6247">
      <w:pPr>
        <w:numPr>
          <w:ilvl w:val="0"/>
          <w:numId w:val="3"/>
        </w:numPr>
        <w:pBdr>
          <w:top w:val="nil"/>
          <w:left w:val="nil"/>
          <w:bottom w:val="nil"/>
          <w:right w:val="nil"/>
          <w:between w:val="nil"/>
        </w:pBdr>
        <w:jc w:val="both"/>
        <w:rPr>
          <w:color w:val="000000"/>
        </w:rPr>
      </w:pPr>
      <w:r>
        <w:rPr>
          <w:color w:val="000000"/>
        </w:rPr>
        <w:t>Reducing the administrative burden for the Member States, the Commission and the other EU institutions</w:t>
      </w:r>
    </w:p>
    <w:p w:rsidR="00354870" w:rsidRDefault="008E6247" w:rsidP="00E637C4">
      <w:pPr>
        <w:jc w:val="both"/>
      </w:pPr>
      <w:r>
        <w:t>The governance mechanism is based on integrated national energy and climate plans (NECPs) covering ten-year periods starting from 2021 to 2030, EU and national long-term strategies, as well as integrated reporting, monitoring and data publication.  Members States are required to establish a 10-year NECP for the period from 2021 to 2030.</w:t>
      </w:r>
    </w:p>
    <w:p w:rsidR="00354870" w:rsidRDefault="008E6247" w:rsidP="00E637C4">
      <w:pPr>
        <w:jc w:val="both"/>
      </w:pPr>
      <w:r>
        <w:rPr>
          <w:u w:val="single"/>
        </w:rPr>
        <w:t>What’s next?</w:t>
      </w:r>
      <w:r>
        <w:t xml:space="preserve"> The final NECPS must be submitted by the end of 2019. If an individual country's draft integrated National Energy and Climate Plan do not sufficiently contribute to reaching the Energy Union's objectives, or if the EU collectively does not make sufficient progress towards these objectives, the Commission may issue recommendations to countries.</w:t>
      </w:r>
    </w:p>
    <w:p w:rsidR="00354870" w:rsidRDefault="008E6247" w:rsidP="00E637C4">
      <w:pPr>
        <w:jc w:val="both"/>
      </w:pPr>
      <w:r>
        <w:t>Member States have to transpose the new elements of the Directive into national law 18 months after its entry into force (24 December 2018).</w:t>
      </w:r>
    </w:p>
    <w:p w:rsidR="00354870" w:rsidRDefault="008E6247">
      <w:pPr>
        <w:numPr>
          <w:ilvl w:val="0"/>
          <w:numId w:val="2"/>
        </w:numPr>
        <w:pBdr>
          <w:top w:val="nil"/>
          <w:left w:val="nil"/>
          <w:bottom w:val="nil"/>
          <w:right w:val="nil"/>
          <w:between w:val="nil"/>
        </w:pBdr>
        <w:jc w:val="both"/>
        <w:rPr>
          <w:b/>
          <w:color w:val="000000"/>
        </w:rPr>
      </w:pPr>
      <w:r>
        <w:rPr>
          <w:b/>
          <w:color w:val="000000"/>
        </w:rPr>
        <w:t>ELECTRICITY DIRECTIVE AND ELECTRICITY REGULATION</w:t>
      </w:r>
    </w:p>
    <w:p w:rsidR="00354870" w:rsidRDefault="008E6247" w:rsidP="00E637C4">
      <w:pPr>
        <w:jc w:val="both"/>
      </w:pPr>
      <w:r>
        <w:t>This directive and this regulation aim to adapt the current market rules to the new realities of the market. These rules will accelerate and facilitate the transition to clean energy. The revised directive places the consumer at the heart of the energy transition with more choice, access to smart meters, price comparison tools and greater protection. As for the revised electricity regulation, it introduces stricter and more harmonized rules on security of supply and reduction of emissions.</w:t>
      </w:r>
    </w:p>
    <w:p w:rsidR="00354870" w:rsidRDefault="008E6247">
      <w:pPr>
        <w:jc w:val="both"/>
      </w:pPr>
      <w:r>
        <w:rPr>
          <w:u w:val="single"/>
        </w:rPr>
        <w:t>The objectives are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To fight against climate change.</w:t>
      </w:r>
    </w:p>
    <w:p w:rsidR="00354870" w:rsidRDefault="008E6247">
      <w:pPr>
        <w:numPr>
          <w:ilvl w:val="0"/>
          <w:numId w:val="3"/>
        </w:numPr>
        <w:pBdr>
          <w:top w:val="nil"/>
          <w:left w:val="nil"/>
          <w:bottom w:val="nil"/>
          <w:right w:val="nil"/>
          <w:between w:val="nil"/>
        </w:pBdr>
        <w:spacing w:after="0"/>
        <w:jc w:val="both"/>
        <w:rPr>
          <w:color w:val="000000"/>
        </w:rPr>
      </w:pPr>
      <w:r>
        <w:rPr>
          <w:color w:val="000000"/>
        </w:rPr>
        <w:t>Introduction of a new limit for powerplants eligible to receive subsidies as capacity mechanisms (confirming the phasing out of subsidies to generation capacity emitting 550gr CO2/kWh or more).</w:t>
      </w:r>
    </w:p>
    <w:p w:rsidR="00354870" w:rsidRDefault="008E6247">
      <w:pPr>
        <w:numPr>
          <w:ilvl w:val="0"/>
          <w:numId w:val="3"/>
        </w:numPr>
        <w:pBdr>
          <w:top w:val="nil"/>
          <w:left w:val="nil"/>
          <w:bottom w:val="nil"/>
          <w:right w:val="nil"/>
          <w:between w:val="nil"/>
        </w:pBdr>
        <w:jc w:val="both"/>
        <w:rPr>
          <w:color w:val="000000"/>
        </w:rPr>
      </w:pPr>
      <w:r>
        <w:rPr>
          <w:color w:val="000000"/>
        </w:rPr>
        <w:t>To allow electricity to flow freely where it is needed most</w:t>
      </w:r>
    </w:p>
    <w:p w:rsidR="00354870" w:rsidRDefault="008E6247">
      <w:pPr>
        <w:jc w:val="both"/>
      </w:pPr>
      <w:r>
        <w:rPr>
          <w:u w:val="single"/>
        </w:rPr>
        <w:t>Consequences</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Creating more competition</w:t>
      </w:r>
    </w:p>
    <w:p w:rsidR="00354870" w:rsidRDefault="008E6247">
      <w:pPr>
        <w:numPr>
          <w:ilvl w:val="0"/>
          <w:numId w:val="3"/>
        </w:numPr>
        <w:pBdr>
          <w:top w:val="nil"/>
          <w:left w:val="nil"/>
          <w:bottom w:val="nil"/>
          <w:right w:val="nil"/>
          <w:between w:val="nil"/>
        </w:pBdr>
        <w:spacing w:after="0"/>
        <w:jc w:val="both"/>
        <w:rPr>
          <w:color w:val="000000"/>
        </w:rPr>
      </w:pPr>
      <w:r>
        <w:rPr>
          <w:color w:val="000000"/>
        </w:rPr>
        <w:t>Enabling consumers to participate more actively in the market and play their part in the transition to clean energy</w:t>
      </w:r>
    </w:p>
    <w:p w:rsidR="00354870" w:rsidRDefault="008E6247">
      <w:pPr>
        <w:numPr>
          <w:ilvl w:val="0"/>
          <w:numId w:val="3"/>
        </w:numPr>
        <w:pBdr>
          <w:top w:val="nil"/>
          <w:left w:val="nil"/>
          <w:bottom w:val="nil"/>
          <w:right w:val="nil"/>
          <w:between w:val="nil"/>
        </w:pBdr>
        <w:spacing w:after="0"/>
        <w:jc w:val="both"/>
        <w:rPr>
          <w:color w:val="000000"/>
        </w:rPr>
      </w:pPr>
      <w:r>
        <w:rPr>
          <w:color w:val="000000"/>
        </w:rPr>
        <w:t>Greater consumer protection</w:t>
      </w:r>
    </w:p>
    <w:p w:rsidR="00354870" w:rsidRDefault="008E6247">
      <w:pPr>
        <w:numPr>
          <w:ilvl w:val="0"/>
          <w:numId w:val="3"/>
        </w:numPr>
        <w:pBdr>
          <w:top w:val="nil"/>
          <w:left w:val="nil"/>
          <w:bottom w:val="nil"/>
          <w:right w:val="nil"/>
          <w:between w:val="nil"/>
        </w:pBdr>
        <w:spacing w:after="0"/>
        <w:jc w:val="both"/>
        <w:rPr>
          <w:color w:val="000000"/>
        </w:rPr>
      </w:pPr>
      <w:r>
        <w:rPr>
          <w:color w:val="000000"/>
        </w:rPr>
        <w:t>Job creation</w:t>
      </w:r>
    </w:p>
    <w:p w:rsidR="00354870" w:rsidRDefault="008E6247">
      <w:pPr>
        <w:numPr>
          <w:ilvl w:val="0"/>
          <w:numId w:val="3"/>
        </w:numPr>
        <w:pBdr>
          <w:top w:val="nil"/>
          <w:left w:val="nil"/>
          <w:bottom w:val="nil"/>
          <w:right w:val="nil"/>
          <w:between w:val="nil"/>
        </w:pBdr>
        <w:spacing w:after="0"/>
        <w:jc w:val="both"/>
        <w:rPr>
          <w:color w:val="000000"/>
        </w:rPr>
      </w:pPr>
      <w:r>
        <w:rPr>
          <w:color w:val="000000"/>
        </w:rPr>
        <w:t>Growth</w:t>
      </w:r>
    </w:p>
    <w:p w:rsidR="00354870" w:rsidRDefault="008E6247">
      <w:pPr>
        <w:numPr>
          <w:ilvl w:val="0"/>
          <w:numId w:val="3"/>
        </w:numPr>
        <w:pBdr>
          <w:top w:val="nil"/>
          <w:left w:val="nil"/>
          <w:bottom w:val="nil"/>
          <w:right w:val="nil"/>
          <w:between w:val="nil"/>
        </w:pBdr>
        <w:jc w:val="both"/>
        <w:rPr>
          <w:color w:val="000000"/>
        </w:rPr>
      </w:pPr>
      <w:r>
        <w:rPr>
          <w:color w:val="000000"/>
        </w:rPr>
        <w:t>Will attract investors</w:t>
      </w:r>
    </w:p>
    <w:p w:rsidR="00354870" w:rsidRDefault="008E6247">
      <w:pPr>
        <w:spacing w:after="0"/>
        <w:jc w:val="both"/>
      </w:pPr>
      <w:r>
        <w:lastRenderedPageBreak/>
        <w:t>The Regulation shall apply from 1 January 2020. Most of the Directive shall apply from 1 January 2021 except for Point (5</w:t>
      </w:r>
      <w:proofErr w:type="gramStart"/>
      <w:r>
        <w:t>)(</w:t>
      </w:r>
      <w:proofErr w:type="gramEnd"/>
      <w:r>
        <w:t>a) of Article 70 which shall apply from 1 January 2020 and point (4) of Article 70 which shall apply from 26 October 2020.</w:t>
      </w:r>
    </w:p>
    <w:p w:rsidR="00AF783E" w:rsidRDefault="00AF783E">
      <w:pPr>
        <w:spacing w:after="0" w:line="276" w:lineRule="auto"/>
        <w:sectPr w:rsidR="00AF783E" w:rsidSect="00AF783E">
          <w:headerReference w:type="default" r:id="rId10"/>
          <w:footerReference w:type="default" r:id="rId11"/>
          <w:pgSz w:w="11906" w:h="16838"/>
          <w:pgMar w:top="1417" w:right="1417" w:bottom="1417" w:left="1417" w:header="708" w:footer="708" w:gutter="0"/>
          <w:pgNumType w:start="1"/>
          <w:cols w:space="720"/>
          <w:docGrid w:linePitch="299"/>
        </w:sectPr>
      </w:pPr>
    </w:p>
    <w:p w:rsidR="00354870" w:rsidRDefault="00354870">
      <w:pPr>
        <w:spacing w:after="0" w:line="276" w:lineRule="auto"/>
      </w:pPr>
    </w:p>
    <w:tbl>
      <w:tblPr>
        <w:tblStyle w:val="a"/>
        <w:tblW w:w="1402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12049"/>
      </w:tblGrid>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t>Article 5</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Market-based supply prices</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rsidRPr="007412DD">
              <w:rPr>
                <w:u w:val="single"/>
              </w:rPr>
              <w:t>Principle</w:t>
            </w:r>
            <w:r>
              <w:t>: suppliers set the price of electricity supply freely.</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rsidRPr="007412DD">
              <w:rPr>
                <w:u w:val="single"/>
              </w:rPr>
              <w:t>Exceptions</w:t>
            </w:r>
            <w:r>
              <w:t>:</w:t>
            </w:r>
          </w:p>
          <w:p w:rsidR="007412DD" w:rsidRDefault="007412DD" w:rsidP="007412DD">
            <w:pPr>
              <w:widowControl w:val="0"/>
              <w:numPr>
                <w:ilvl w:val="0"/>
                <w:numId w:val="4"/>
              </w:numPr>
              <w:spacing w:after="0" w:line="240" w:lineRule="auto"/>
              <w:jc w:val="both"/>
            </w:pPr>
            <w:r>
              <w:t>Possible maintenance of social tariffs (precarious and vulnerable residential customers), subject to respecting the 5 conditions defined in the text.</w:t>
            </w:r>
          </w:p>
          <w:p w:rsidR="007412DD" w:rsidRDefault="007412DD" w:rsidP="007412DD">
            <w:pPr>
              <w:widowControl w:val="0"/>
              <w:numPr>
                <w:ilvl w:val="0"/>
                <w:numId w:val="4"/>
              </w:numPr>
              <w:spacing w:after="0" w:line="240" w:lineRule="auto"/>
              <w:jc w:val="both"/>
            </w:pPr>
            <w:r>
              <w:t>Possible maintenance, for a transitional period, of regulated sales tariffs for residential customers and micro-enterprises [less than 10 employees and annual turnover and / or total annual balance sheet does not exceed 2 million euros], subject to respect the conditions defined in the text.</w:t>
            </w:r>
          </w:p>
          <w:p w:rsidR="007412DD" w:rsidRDefault="007412DD" w:rsidP="007412DD">
            <w:pPr>
              <w:widowControl w:val="0"/>
              <w:spacing w:after="0" w:line="240" w:lineRule="auto"/>
              <w:ind w:left="720"/>
              <w:jc w:val="both"/>
            </w:pPr>
          </w:p>
          <w:p w:rsidR="007412DD" w:rsidRDefault="007412DD" w:rsidP="007412DD">
            <w:pPr>
              <w:widowControl w:val="0"/>
              <w:spacing w:after="0" w:line="240" w:lineRule="auto"/>
              <w:jc w:val="both"/>
            </w:pPr>
            <w:r>
              <w:t>Review by the European Commission 2025 of the question of the abolition of tariffs.</w:t>
            </w: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t>Article 10</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Basic contractual rights</w:t>
            </w:r>
          </w:p>
        </w:tc>
        <w:tc>
          <w:tcPr>
            <w:tcW w:w="12049" w:type="dxa"/>
            <w:shd w:val="clear" w:color="auto" w:fill="auto"/>
            <w:tcMar>
              <w:top w:w="100" w:type="dxa"/>
              <w:left w:w="100" w:type="dxa"/>
              <w:bottom w:w="100" w:type="dxa"/>
              <w:right w:w="100" w:type="dxa"/>
            </w:tcMar>
          </w:tcPr>
          <w:p w:rsidR="007412DD" w:rsidRDefault="00DB5057" w:rsidP="007412DD">
            <w:pPr>
              <w:widowControl w:val="0"/>
              <w:spacing w:after="0" w:line="240" w:lineRule="auto"/>
              <w:jc w:val="both"/>
            </w:pPr>
            <w:r>
              <w:t xml:space="preserve">This article does not implement any </w:t>
            </w:r>
            <w:r w:rsidR="007412DD">
              <w:t>significant change in the information mentioned in the contracts compared to the</w:t>
            </w:r>
            <w:r>
              <w:t xml:space="preserve"> ones from the</w:t>
            </w:r>
            <w:r w:rsidR="007412DD">
              <w:t xml:space="preserve"> 2009 Directive.</w:t>
            </w:r>
            <w:r>
              <w:t xml:space="preserve"> However, there is an e</w:t>
            </w:r>
            <w:r w:rsidR="007412DD">
              <w:t>xtension of the contractual information obligation to services and products related to the supply of electricity.</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t>Notice period in the event of a change in the supply price: 1 month minimum for residential customers and 2 weeks minimum for other customers.</w:t>
            </w:r>
          </w:p>
          <w:p w:rsidR="007412DD" w:rsidRDefault="007412DD" w:rsidP="007412DD">
            <w:pPr>
              <w:widowControl w:val="0"/>
              <w:spacing w:after="0" w:line="240" w:lineRule="auto"/>
              <w:jc w:val="both"/>
            </w:pPr>
          </w:p>
          <w:p w:rsidR="007412DD" w:rsidRDefault="00DB5057" w:rsidP="00DB5057">
            <w:pPr>
              <w:widowControl w:val="0"/>
              <w:spacing w:after="0" w:line="240" w:lineRule="auto"/>
              <w:jc w:val="both"/>
            </w:pPr>
            <w:r>
              <w:t>The new provisions create an o</w:t>
            </w:r>
            <w:r w:rsidR="007412DD">
              <w:t>bligation to provide a summary of the essential terms of the contract to the customer.</w:t>
            </w: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t>Article 11</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Entitlement to a dynamic electricity price contract</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t xml:space="preserve">The end customer who has a smart meter can request a dynamic price contract from at least one national supplier and </w:t>
            </w:r>
            <w:r w:rsidR="00DB5057">
              <w:t xml:space="preserve">from </w:t>
            </w:r>
            <w:r>
              <w:t>any supplier with more than 200,000 customers.</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t>This article creates an obligation to offer a dynamic price offer for all market segments; as well as an obligation to communicate quarterly to customers on markets offers and dynamic offers; finally it implements a reinforced information obligation of the customer at the expense of the supplier that is to be reconcile with Article 9 "Technical bidding limits" of the electricity regulation which provides for a gradual removal of prices on the wholesale market.</w:t>
            </w: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t>Article 12</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Right to switch and rules on switching-</w:t>
            </w:r>
            <w:r w:rsidRPr="00CA555A">
              <w:rPr>
                <w:b/>
                <w:i/>
              </w:rPr>
              <w:lastRenderedPageBreak/>
              <w:t>related fees</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lastRenderedPageBreak/>
              <w:t>The customer must be able to change supplier or aggregator within a maximum of 3 weeks.</w:t>
            </w:r>
          </w:p>
          <w:p w:rsidR="007412DD" w:rsidRDefault="007412DD" w:rsidP="007412DD">
            <w:pPr>
              <w:widowControl w:val="0"/>
              <w:spacing w:after="0" w:line="240" w:lineRule="auto"/>
              <w:jc w:val="both"/>
            </w:pPr>
          </w:p>
          <w:p w:rsidR="007412DD" w:rsidRDefault="00DB5057" w:rsidP="007412DD">
            <w:pPr>
              <w:widowControl w:val="0"/>
              <w:spacing w:after="0" w:line="240" w:lineRule="auto"/>
              <w:jc w:val="both"/>
            </w:pPr>
            <w:r>
              <w:t xml:space="preserve">The new provisions set an objective for </w:t>
            </w:r>
            <w:r w:rsidR="007412DD">
              <w:t>2026: technical change of supplier ("</w:t>
            </w:r>
            <w:r w:rsidR="007412DD" w:rsidRPr="00DB5057">
              <w:rPr>
                <w:i/>
              </w:rPr>
              <w:t>technical process of switching</w:t>
            </w:r>
            <w:r w:rsidR="007412DD">
              <w:t>") in 24h.</w:t>
            </w:r>
          </w:p>
          <w:p w:rsidR="007412DD" w:rsidRDefault="007412DD" w:rsidP="007412DD">
            <w:pPr>
              <w:widowControl w:val="0"/>
              <w:spacing w:after="0" w:line="240" w:lineRule="auto"/>
              <w:jc w:val="both"/>
            </w:pPr>
          </w:p>
          <w:p w:rsidR="007412DD" w:rsidRDefault="00DB5057" w:rsidP="007412DD">
            <w:pPr>
              <w:widowControl w:val="0"/>
              <w:spacing w:after="0" w:line="240" w:lineRule="auto"/>
              <w:jc w:val="both"/>
            </w:pPr>
            <w:r>
              <w:lastRenderedPageBreak/>
              <w:t xml:space="preserve">When it comes to switching-related fees, the principle is the following: </w:t>
            </w:r>
            <w:r w:rsidR="007412DD">
              <w:t>prohibition of switching costs of supplier / aggregator for, at least, residential, micro-enterprises and small enterprises.</w:t>
            </w:r>
          </w:p>
          <w:p w:rsidR="007412DD" w:rsidRDefault="007412DD" w:rsidP="007412DD">
            <w:pPr>
              <w:widowControl w:val="0"/>
              <w:spacing w:after="0" w:line="240" w:lineRule="auto"/>
              <w:jc w:val="both"/>
            </w:pPr>
          </w:p>
          <w:p w:rsidR="007412DD" w:rsidRDefault="007412DD" w:rsidP="00DB5057">
            <w:pPr>
              <w:widowControl w:val="0"/>
              <w:spacing w:after="0" w:line="240" w:lineRule="auto"/>
              <w:jc w:val="both"/>
            </w:pPr>
            <w:r>
              <w:t xml:space="preserve">By exception, </w:t>
            </w:r>
            <w:r w:rsidR="00DB5057">
              <w:t>Member States may permit suppliers or market participants engaged in aggregation to charge customers contract termination fees where those customers voluntarily terminate fixed-term, fixed-price electricity supply contracts before their maturity, provided that such fees are part of a contract that the customer has voluntarily entered into and that such fees are clearly communicated to the customer before the contract is entered into. Such fees shall be proportionate and shall not exceed the direct economic loss to the supplier or the market participant engaged in aggregation resulting from the customer's termination of the contract, including the costs of any bundled investments or services that have already been provided to the customer as part of the contract.</w:t>
            </w: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lastRenderedPageBreak/>
              <w:t>Article 13</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Aggregation contract</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t>The end customer can conclude an aggregation contract with a third party without the agreement of his energy supplier.</w:t>
            </w:r>
          </w:p>
          <w:p w:rsidR="007412DD" w:rsidRDefault="007412DD" w:rsidP="007412DD">
            <w:pPr>
              <w:widowControl w:val="0"/>
              <w:spacing w:after="0" w:line="240" w:lineRule="auto"/>
              <w:jc w:val="both"/>
            </w:pPr>
          </w:p>
          <w:p w:rsidR="007412DD" w:rsidRDefault="007412DD" w:rsidP="00A658A5">
            <w:pPr>
              <w:widowControl w:val="0"/>
              <w:spacing w:after="0" w:line="240" w:lineRule="auto"/>
              <w:jc w:val="both"/>
            </w:pPr>
            <w:r>
              <w:t>Obligation of contractual information of the aggregators vis-à-vis the customers</w:t>
            </w:r>
            <w:r w:rsidR="00A658A5">
              <w:t xml:space="preserve"> (“</w:t>
            </w:r>
            <w:r w:rsidR="00A658A5" w:rsidRPr="00A658A5">
              <w:rPr>
                <w:i/>
              </w:rPr>
              <w:t>fully  inform  customers  of  the  terms  and conditions of the contracts that they offer to them</w:t>
            </w:r>
            <w:r w:rsidR="00A658A5">
              <w:t>” and “</w:t>
            </w:r>
            <w:r w:rsidR="00A658A5" w:rsidRPr="00A658A5">
              <w:rPr>
                <w:i/>
              </w:rPr>
              <w:t>final customers are entitled to receive all relevant demand response data or data on supplied and sold electricity free of charge at least once every billing period if requested by the customer</w:t>
            </w:r>
            <w:r>
              <w:t>.</w:t>
            </w:r>
            <w:r w:rsidR="00A658A5">
              <w:t>”)</w:t>
            </w:r>
          </w:p>
          <w:p w:rsidR="007412DD" w:rsidRDefault="007412DD" w:rsidP="007412DD">
            <w:pPr>
              <w:widowControl w:val="0"/>
              <w:spacing w:after="0" w:line="240" w:lineRule="auto"/>
              <w:jc w:val="both"/>
            </w:pPr>
          </w:p>
          <w:p w:rsidR="007412DD" w:rsidRDefault="007412DD" w:rsidP="00A658A5">
            <w:pPr>
              <w:widowControl w:val="0"/>
              <w:spacing w:after="0" w:line="240" w:lineRule="auto"/>
              <w:jc w:val="both"/>
            </w:pPr>
            <w:r>
              <w:t>The</w:t>
            </w:r>
            <w:r w:rsidR="00A658A5">
              <w:t>se</w:t>
            </w:r>
            <w:r>
              <w:t xml:space="preserve"> new provisions are compatible with the rules applicable in France. </w:t>
            </w: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t>Article 14</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Comparison tools</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rsidRPr="00673D0C">
              <w:rPr>
                <w:u w:val="single"/>
              </w:rPr>
              <w:t>Scope</w:t>
            </w:r>
            <w:r>
              <w:t>: it must include at least offers for residential and micro-businesses whose annual consumption is less than 100,000 kwh.</w:t>
            </w:r>
            <w:r w:rsidR="00673D0C">
              <w:t xml:space="preserve"> It has to include</w:t>
            </w:r>
            <w:r>
              <w:t xml:space="preserve"> dynamic price offers, services. States can add comparisons on the nature of services.</w:t>
            </w:r>
            <w:r w:rsidR="00673D0C">
              <w:t xml:space="preserve"> As a general rule, at least one comparison tool must cover the entire market. </w:t>
            </w:r>
          </w:p>
          <w:p w:rsidR="007412DD" w:rsidRDefault="007412DD" w:rsidP="007412DD">
            <w:pPr>
              <w:widowControl w:val="0"/>
              <w:spacing w:after="0" w:line="240" w:lineRule="auto"/>
              <w:jc w:val="both"/>
            </w:pPr>
          </w:p>
          <w:p w:rsidR="007412DD" w:rsidRDefault="00673D0C" w:rsidP="00673D0C">
            <w:pPr>
              <w:widowControl w:val="0"/>
              <w:spacing w:after="0" w:line="240" w:lineRule="auto"/>
              <w:jc w:val="both"/>
            </w:pPr>
            <w:r>
              <w:t xml:space="preserve">Customers shall be informed of the availability of such tools in or together with their bills or by other means. </w:t>
            </w:r>
          </w:p>
          <w:p w:rsidR="00673D0C" w:rsidRDefault="00673D0C" w:rsidP="00673D0C">
            <w:pPr>
              <w:widowControl w:val="0"/>
              <w:spacing w:after="0" w:line="240" w:lineRule="auto"/>
              <w:jc w:val="both"/>
            </w:pPr>
          </w:p>
          <w:p w:rsidR="007412DD" w:rsidRDefault="007412DD" w:rsidP="00673D0C">
            <w:pPr>
              <w:widowControl w:val="0"/>
              <w:spacing w:after="0" w:line="240" w:lineRule="auto"/>
              <w:jc w:val="both"/>
            </w:pPr>
            <w:r>
              <w:t>Obligation of independence, equal treatment and transparency of the tools.</w:t>
            </w:r>
            <w:r w:rsidR="00673D0C">
              <w:t xml:space="preserve"> </w:t>
            </w:r>
            <w:r>
              <w:t>A national authority may be responsible for verifying and granting a trust mark.</w:t>
            </w: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t>Article 18</w:t>
            </w:r>
          </w:p>
          <w:p w:rsidR="007412DD" w:rsidRPr="007412DD" w:rsidRDefault="007412DD" w:rsidP="00CA555A">
            <w:pPr>
              <w:widowControl w:val="0"/>
              <w:spacing w:after="0" w:line="240" w:lineRule="auto"/>
              <w:rPr>
                <w:b/>
              </w:rPr>
            </w:pPr>
          </w:p>
          <w:p w:rsidR="007412DD" w:rsidRDefault="007412DD" w:rsidP="00CA555A">
            <w:pPr>
              <w:widowControl w:val="0"/>
              <w:spacing w:after="0" w:line="240" w:lineRule="auto"/>
              <w:rPr>
                <w:b/>
                <w:i/>
              </w:rPr>
            </w:pPr>
            <w:r w:rsidRPr="00CA555A">
              <w:rPr>
                <w:b/>
                <w:i/>
              </w:rPr>
              <w:t>Bills and billing information</w:t>
            </w:r>
          </w:p>
          <w:p w:rsidR="001D2361" w:rsidRDefault="001D2361" w:rsidP="00CA555A">
            <w:pPr>
              <w:widowControl w:val="0"/>
              <w:spacing w:after="0" w:line="240" w:lineRule="auto"/>
              <w:rPr>
                <w:b/>
                <w:i/>
              </w:rPr>
            </w:pPr>
          </w:p>
          <w:p w:rsidR="001D2361" w:rsidRPr="00CA555A" w:rsidRDefault="001D2361" w:rsidP="00CA555A">
            <w:pPr>
              <w:widowControl w:val="0"/>
              <w:spacing w:after="0" w:line="240" w:lineRule="auto"/>
              <w:rPr>
                <w:b/>
                <w:i/>
              </w:rPr>
            </w:pPr>
            <w:r>
              <w:rPr>
                <w:b/>
                <w:i/>
              </w:rPr>
              <w:lastRenderedPageBreak/>
              <w:t>&amp; See Annex I</w:t>
            </w:r>
          </w:p>
        </w:tc>
        <w:tc>
          <w:tcPr>
            <w:tcW w:w="12049" w:type="dxa"/>
            <w:shd w:val="clear" w:color="auto" w:fill="auto"/>
            <w:tcMar>
              <w:top w:w="100" w:type="dxa"/>
              <w:left w:w="100" w:type="dxa"/>
              <w:bottom w:w="100" w:type="dxa"/>
              <w:right w:w="100" w:type="dxa"/>
            </w:tcMar>
          </w:tcPr>
          <w:p w:rsidR="007412DD" w:rsidRDefault="007412DD" w:rsidP="00673D0C">
            <w:pPr>
              <w:widowControl w:val="0"/>
              <w:spacing w:after="0" w:line="240" w:lineRule="auto"/>
              <w:jc w:val="both"/>
            </w:pPr>
            <w:r>
              <w:lastRenderedPageBreak/>
              <w:t>Definition of general principles concerning</w:t>
            </w:r>
            <w:r w:rsidR="00673D0C">
              <w:t xml:space="preserve"> billing and information: “</w:t>
            </w:r>
            <w:r w:rsidR="00673D0C" w:rsidRPr="00673D0C">
              <w:rPr>
                <w:i/>
              </w:rPr>
              <w:t>Member States shall ensure that bills and billing information are accurate, easy to understand, clear, concise, user-friendly and presented in a manner that facilitates comparison by final customers. On request, final customers shall receive a clear and understandable explanation of how their bill was derived, especially where bills are not based on actual consumption</w:t>
            </w:r>
            <w:r w:rsidR="00673D0C">
              <w:t>.”</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lastRenderedPageBreak/>
              <w:t>The end customer should be offered the opportunity to receive invoice information and invoices electronically.</w:t>
            </w:r>
          </w:p>
          <w:p w:rsidR="007412DD" w:rsidRDefault="007412DD" w:rsidP="007412DD">
            <w:pPr>
              <w:widowControl w:val="0"/>
              <w:spacing w:after="0" w:line="240" w:lineRule="auto"/>
              <w:jc w:val="both"/>
            </w:pPr>
          </w:p>
          <w:p w:rsidR="007412DD" w:rsidRPr="005C257E" w:rsidRDefault="007412DD" w:rsidP="005C257E">
            <w:pPr>
              <w:widowControl w:val="0"/>
              <w:spacing w:after="0" w:line="240" w:lineRule="auto"/>
              <w:jc w:val="both"/>
              <w:rPr>
                <w:i/>
              </w:rPr>
            </w:pPr>
            <w:r>
              <w:t>Obligation to mention on the inv</w:t>
            </w:r>
            <w:r w:rsidR="005C257E">
              <w:t>oice a future change of product/</w:t>
            </w:r>
            <w:r>
              <w:t>price</w:t>
            </w:r>
            <w:r w:rsidR="005C257E">
              <w:t>: “</w:t>
            </w:r>
            <w:r w:rsidR="005C257E">
              <w:rPr>
                <w:i/>
              </w:rPr>
              <w:t xml:space="preserve">the contract </w:t>
            </w:r>
            <w:r w:rsidR="005C257E" w:rsidRPr="005C257E">
              <w:rPr>
                <w:i/>
              </w:rPr>
              <w:t>provides for a future change of the product or price, or a discount, this shall be indicated on the bill together with the date on which the change takes place</w:t>
            </w:r>
            <w:r w:rsidR="005C257E">
              <w:t>”</w:t>
            </w:r>
            <w:r>
              <w:t>.</w:t>
            </w:r>
          </w:p>
          <w:p w:rsidR="007412DD" w:rsidRDefault="007412DD" w:rsidP="007412DD">
            <w:pPr>
              <w:widowControl w:val="0"/>
              <w:spacing w:after="0" w:line="240" w:lineRule="auto"/>
              <w:jc w:val="both"/>
            </w:pPr>
          </w:p>
        </w:tc>
      </w:tr>
      <w:tr w:rsidR="007412DD" w:rsidTr="00AF783E">
        <w:tc>
          <w:tcPr>
            <w:tcW w:w="1975" w:type="dxa"/>
            <w:shd w:val="clear" w:color="auto" w:fill="auto"/>
            <w:tcMar>
              <w:top w:w="100" w:type="dxa"/>
              <w:left w:w="100" w:type="dxa"/>
              <w:bottom w:w="100" w:type="dxa"/>
              <w:right w:w="100" w:type="dxa"/>
            </w:tcMar>
          </w:tcPr>
          <w:p w:rsidR="007412DD" w:rsidRPr="007412DD" w:rsidRDefault="007412DD" w:rsidP="00CA555A">
            <w:pPr>
              <w:widowControl w:val="0"/>
              <w:spacing w:after="0" w:line="240" w:lineRule="auto"/>
              <w:rPr>
                <w:b/>
              </w:rPr>
            </w:pPr>
            <w:r w:rsidRPr="007412DD">
              <w:rPr>
                <w:b/>
              </w:rPr>
              <w:lastRenderedPageBreak/>
              <w:t>Article 23</w:t>
            </w:r>
          </w:p>
          <w:p w:rsidR="007412DD" w:rsidRPr="007412DD" w:rsidRDefault="007412DD" w:rsidP="00CA555A">
            <w:pPr>
              <w:widowControl w:val="0"/>
              <w:spacing w:after="0" w:line="240" w:lineRule="auto"/>
              <w:rPr>
                <w:b/>
              </w:rPr>
            </w:pPr>
          </w:p>
          <w:p w:rsidR="007412DD" w:rsidRPr="00CA555A" w:rsidRDefault="007412DD" w:rsidP="00CA555A">
            <w:pPr>
              <w:widowControl w:val="0"/>
              <w:spacing w:after="0" w:line="240" w:lineRule="auto"/>
              <w:rPr>
                <w:b/>
                <w:i/>
              </w:rPr>
            </w:pPr>
            <w:r w:rsidRPr="00CA555A">
              <w:rPr>
                <w:b/>
                <w:i/>
              </w:rPr>
              <w:t>Data management</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t>The rules defined by the States concerning the access of end-customer data by the eligible parties must respect certain principles and the existing European framework (non-discrimination, protection of personal data, etc.).</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rsidRPr="001D2361">
              <w:rPr>
                <w:u w:val="single"/>
              </w:rPr>
              <w:t>Data concerned</w:t>
            </w:r>
            <w:r>
              <w:t>: meter readings and consumption, information needed for switching supplier, active participation in demand and other services.</w:t>
            </w:r>
          </w:p>
          <w:p w:rsidR="007412DD" w:rsidRDefault="007412DD" w:rsidP="007412DD">
            <w:pPr>
              <w:widowControl w:val="0"/>
              <w:spacing w:after="0" w:line="240" w:lineRule="auto"/>
              <w:jc w:val="both"/>
            </w:pPr>
          </w:p>
        </w:tc>
      </w:tr>
      <w:tr w:rsidR="00BD18C8" w:rsidTr="00AF783E">
        <w:tc>
          <w:tcPr>
            <w:tcW w:w="1975" w:type="dxa"/>
            <w:shd w:val="clear" w:color="auto" w:fill="auto"/>
            <w:tcMar>
              <w:top w:w="100" w:type="dxa"/>
              <w:left w:w="100" w:type="dxa"/>
              <w:bottom w:w="100" w:type="dxa"/>
              <w:right w:w="100" w:type="dxa"/>
            </w:tcMar>
          </w:tcPr>
          <w:p w:rsidR="00BD18C8" w:rsidRDefault="00BD18C8" w:rsidP="00CA555A">
            <w:pPr>
              <w:widowControl w:val="0"/>
              <w:spacing w:after="0" w:line="240" w:lineRule="auto"/>
              <w:rPr>
                <w:b/>
              </w:rPr>
            </w:pPr>
            <w:r>
              <w:rPr>
                <w:b/>
              </w:rPr>
              <w:t>Article 26</w:t>
            </w:r>
          </w:p>
          <w:p w:rsidR="00BD18C8" w:rsidRDefault="00BD18C8" w:rsidP="00CA555A">
            <w:pPr>
              <w:widowControl w:val="0"/>
              <w:spacing w:after="0" w:line="240" w:lineRule="auto"/>
              <w:rPr>
                <w:b/>
              </w:rPr>
            </w:pPr>
          </w:p>
          <w:p w:rsidR="00BD18C8" w:rsidRDefault="00BD18C8" w:rsidP="00CA555A">
            <w:pPr>
              <w:widowControl w:val="0"/>
              <w:spacing w:after="0" w:line="240" w:lineRule="auto"/>
              <w:rPr>
                <w:b/>
                <w:i/>
              </w:rPr>
            </w:pPr>
            <w:r w:rsidRPr="00BD4F5A">
              <w:rPr>
                <w:b/>
                <w:i/>
              </w:rPr>
              <w:t>Right to out-of-court dispute settlement</w:t>
            </w:r>
          </w:p>
          <w:p w:rsidR="00BD18C8" w:rsidRPr="007412DD" w:rsidRDefault="00BD18C8" w:rsidP="00CA555A">
            <w:pPr>
              <w:widowControl w:val="0"/>
              <w:spacing w:after="0" w:line="240" w:lineRule="auto"/>
              <w:rPr>
                <w:b/>
              </w:rPr>
            </w:pPr>
          </w:p>
        </w:tc>
        <w:tc>
          <w:tcPr>
            <w:tcW w:w="12049" w:type="dxa"/>
            <w:shd w:val="clear" w:color="auto" w:fill="auto"/>
            <w:tcMar>
              <w:top w:w="100" w:type="dxa"/>
              <w:left w:w="100" w:type="dxa"/>
              <w:bottom w:w="100" w:type="dxa"/>
              <w:right w:w="100" w:type="dxa"/>
            </w:tcMar>
          </w:tcPr>
          <w:p w:rsidR="00BD18C8" w:rsidRDefault="00BD18C8" w:rsidP="00BD18C8">
            <w:pPr>
              <w:widowControl w:val="0"/>
              <w:spacing w:after="0" w:line="240" w:lineRule="auto"/>
              <w:jc w:val="both"/>
            </w:pPr>
            <w:r w:rsidRPr="00BD18C8">
              <w:t xml:space="preserve">Member States shall ensure that final customers have access to simple, fair, transparent, independent, effective and efficient out-of-court mechanisms for the settlement of disputes concerning rights and obligations established under this Directive, through an independent mechanism such as an energy ombudsman or a consumer body, or through a regulatory authority. Where the final customer is a consumer within the meaning of Directive 2013/11/EU of the European Parliament and of the Council (23), such out-of-court dispute settlement mechanisms shall comply with the quality requirements of Directive 2013/11/EU and shall provide, where warranted, for systems of reimbursement and compensation. </w:t>
            </w:r>
          </w:p>
          <w:p w:rsidR="00BD18C8" w:rsidRPr="00BD18C8" w:rsidRDefault="00BD18C8" w:rsidP="00BD18C8">
            <w:pPr>
              <w:widowControl w:val="0"/>
              <w:spacing w:after="0" w:line="240" w:lineRule="auto"/>
              <w:ind w:left="2520"/>
              <w:jc w:val="both"/>
            </w:pPr>
          </w:p>
          <w:p w:rsidR="00BD18C8" w:rsidRDefault="00BD18C8" w:rsidP="00BD18C8">
            <w:pPr>
              <w:widowControl w:val="0"/>
              <w:spacing w:after="0" w:line="240" w:lineRule="auto"/>
              <w:jc w:val="both"/>
            </w:pPr>
            <w:r w:rsidRPr="00BD18C8">
              <w:t xml:space="preserve">Where necessary, Member States shall ensure that alternative dispute resolution entities cooperate to provide simple, fair, transparent, independent, effective and efficient out-of-court dispute settlement mechanisms for any dispute that arises from products or services that are tied to, or bundled with, any product or service falling under the scope of this Directive. </w:t>
            </w:r>
          </w:p>
          <w:p w:rsidR="00BD18C8" w:rsidRPr="00BD18C8" w:rsidRDefault="00BD18C8" w:rsidP="00BD18C8">
            <w:pPr>
              <w:widowControl w:val="0"/>
              <w:spacing w:after="0" w:line="240" w:lineRule="auto"/>
              <w:jc w:val="both"/>
            </w:pPr>
          </w:p>
          <w:p w:rsidR="00BD18C8" w:rsidRDefault="00BD18C8" w:rsidP="00BD18C8">
            <w:pPr>
              <w:widowControl w:val="0"/>
              <w:spacing w:after="0" w:line="240" w:lineRule="auto"/>
              <w:jc w:val="both"/>
            </w:pPr>
            <w:r w:rsidRPr="00BD18C8">
              <w:t>The participation of electricity undertakings in out-of-court dispute settlement mechanisms for household customers shall be mandatory unless the Member State demonstrates to the omission that other mechanisms are equally effective.</w:t>
            </w:r>
          </w:p>
        </w:tc>
      </w:tr>
      <w:tr w:rsidR="007412DD" w:rsidTr="00AF783E">
        <w:tc>
          <w:tcPr>
            <w:tcW w:w="1975" w:type="dxa"/>
            <w:shd w:val="clear" w:color="auto" w:fill="auto"/>
            <w:tcMar>
              <w:top w:w="100" w:type="dxa"/>
              <w:left w:w="100" w:type="dxa"/>
              <w:bottom w:w="100" w:type="dxa"/>
              <w:right w:w="100" w:type="dxa"/>
            </w:tcMar>
          </w:tcPr>
          <w:p w:rsidR="001151D5" w:rsidRDefault="001151D5" w:rsidP="00CA555A">
            <w:pPr>
              <w:widowControl w:val="0"/>
              <w:spacing w:after="0" w:line="240" w:lineRule="auto"/>
              <w:rPr>
                <w:b/>
              </w:rPr>
            </w:pPr>
            <w:r>
              <w:rPr>
                <w:b/>
              </w:rPr>
              <w:t xml:space="preserve">Annex I </w:t>
            </w:r>
          </w:p>
          <w:p w:rsidR="001151D5" w:rsidRDefault="001151D5" w:rsidP="00CA555A">
            <w:pPr>
              <w:widowControl w:val="0"/>
              <w:spacing w:after="0" w:line="240" w:lineRule="auto"/>
              <w:rPr>
                <w:b/>
              </w:rPr>
            </w:pPr>
          </w:p>
          <w:p w:rsidR="007412DD" w:rsidRPr="007412DD" w:rsidRDefault="007412DD" w:rsidP="00CA555A">
            <w:pPr>
              <w:widowControl w:val="0"/>
              <w:spacing w:after="0" w:line="240" w:lineRule="auto"/>
              <w:rPr>
                <w:b/>
              </w:rPr>
            </w:pPr>
            <w:r w:rsidRPr="00CA555A">
              <w:rPr>
                <w:b/>
                <w:i/>
              </w:rPr>
              <w:t>Minimum requirements for billing and billing information</w:t>
            </w:r>
          </w:p>
        </w:tc>
        <w:tc>
          <w:tcPr>
            <w:tcW w:w="12049" w:type="dxa"/>
            <w:shd w:val="clear" w:color="auto" w:fill="auto"/>
            <w:tcMar>
              <w:top w:w="100" w:type="dxa"/>
              <w:left w:w="100" w:type="dxa"/>
              <w:bottom w:w="100" w:type="dxa"/>
              <w:right w:w="100" w:type="dxa"/>
            </w:tcMar>
          </w:tcPr>
          <w:p w:rsidR="007412DD" w:rsidRDefault="007412DD" w:rsidP="007412DD">
            <w:pPr>
              <w:widowControl w:val="0"/>
              <w:spacing w:after="0" w:line="240" w:lineRule="auto"/>
              <w:jc w:val="both"/>
            </w:pPr>
            <w:r w:rsidRPr="007412DD">
              <w:rPr>
                <w:u w:val="single"/>
              </w:rPr>
              <w:t>The annex distinguishes between essential information and other information to be communicated to end customers</w:t>
            </w:r>
            <w:r>
              <w:t>:</w:t>
            </w:r>
          </w:p>
          <w:p w:rsidR="001B2D07" w:rsidRDefault="007412DD" w:rsidP="001B2D07">
            <w:pPr>
              <w:pStyle w:val="Paragraphedeliste"/>
              <w:widowControl w:val="0"/>
              <w:numPr>
                <w:ilvl w:val="0"/>
                <w:numId w:val="6"/>
              </w:numPr>
              <w:spacing w:after="0" w:line="240" w:lineRule="auto"/>
              <w:jc w:val="both"/>
            </w:pPr>
            <w:r w:rsidRPr="00556939">
              <w:rPr>
                <w:u w:val="single"/>
              </w:rPr>
              <w:t>The essential information listed in the Directive must be separate</w:t>
            </w:r>
            <w:r w:rsidR="001B2D07" w:rsidRPr="00556939">
              <w:rPr>
                <w:u w:val="single"/>
              </w:rPr>
              <w:t>d</w:t>
            </w:r>
            <w:r w:rsidRPr="00556939">
              <w:rPr>
                <w:u w:val="single"/>
              </w:rPr>
              <w:t xml:space="preserve"> from the other information and </w:t>
            </w:r>
            <w:r w:rsidR="001B2D07" w:rsidRPr="00556939">
              <w:rPr>
                <w:u w:val="single"/>
              </w:rPr>
              <w:t xml:space="preserve">be </w:t>
            </w:r>
            <w:r w:rsidRPr="00556939">
              <w:rPr>
                <w:u w:val="single"/>
              </w:rPr>
              <w:t>indicated in the invoice and</w:t>
            </w:r>
            <w:r w:rsidR="001B2D07" w:rsidRPr="00556939">
              <w:rPr>
                <w:u w:val="single"/>
              </w:rPr>
              <w:t xml:space="preserve"> other</w:t>
            </w:r>
            <w:r w:rsidRPr="00556939">
              <w:rPr>
                <w:u w:val="single"/>
              </w:rPr>
              <w:t xml:space="preserve"> billing information</w:t>
            </w:r>
            <w:r>
              <w:t>.</w:t>
            </w:r>
          </w:p>
          <w:p w:rsidR="001B2D07" w:rsidRDefault="000D6833" w:rsidP="001B2D07">
            <w:pPr>
              <w:pStyle w:val="Paragraphedeliste"/>
              <w:widowControl w:val="0"/>
              <w:spacing w:after="0" w:line="240" w:lineRule="auto"/>
              <w:jc w:val="both"/>
            </w:pPr>
            <w:r>
              <w:t>(a) the price to be paid and a</w:t>
            </w:r>
            <w:r w:rsidR="001B2D07">
              <w:t xml:space="preserve"> breakdo</w:t>
            </w:r>
            <w:r>
              <w:t xml:space="preserve">wn of the price </w:t>
            </w:r>
            <w:r w:rsidR="001B2D07">
              <w:t xml:space="preserve">where possible, </w:t>
            </w:r>
            <w:r>
              <w:t xml:space="preserve">together with a clear statement that </w:t>
            </w:r>
            <w:r w:rsidR="001B2D07">
              <w:t xml:space="preserve">all energy sources </w:t>
            </w:r>
            <w:r>
              <w:t>may also benefit from</w:t>
            </w:r>
            <w:r w:rsidR="001B2D07">
              <w:t xml:space="preserve"> incentives </w:t>
            </w:r>
            <w:r>
              <w:t xml:space="preserve">that were not </w:t>
            </w:r>
            <w:r w:rsidR="001B2D07">
              <w:t xml:space="preserve">financed through </w:t>
            </w:r>
            <w:r>
              <w:t xml:space="preserve">the levies </w:t>
            </w:r>
            <w:r w:rsidR="001B2D07">
              <w:t xml:space="preserve">indicated </w:t>
            </w:r>
            <w:r>
              <w:t xml:space="preserve">in </w:t>
            </w:r>
            <w:r w:rsidR="001B2D07">
              <w:t>the breakdown of the price</w:t>
            </w:r>
            <w:r w:rsidR="005217DD">
              <w:t xml:space="preserve"> (NEW)</w:t>
            </w:r>
            <w:r w:rsidR="001B2D07">
              <w:t xml:space="preserve">; </w:t>
            </w:r>
          </w:p>
          <w:p w:rsidR="001B2D07" w:rsidRDefault="000D6833" w:rsidP="001B2D07">
            <w:pPr>
              <w:pStyle w:val="Paragraphedeliste"/>
              <w:widowControl w:val="0"/>
              <w:spacing w:after="0" w:line="240" w:lineRule="auto"/>
              <w:jc w:val="both"/>
            </w:pPr>
            <w:r>
              <w:t>(b)</w:t>
            </w:r>
            <w:r w:rsidR="001B2D07">
              <w:t xml:space="preserve"> </w:t>
            </w:r>
            <w:proofErr w:type="gramStart"/>
            <w:r w:rsidR="001B2D07">
              <w:t>the</w:t>
            </w:r>
            <w:proofErr w:type="gramEnd"/>
            <w:r w:rsidR="001B2D07">
              <w:t xml:space="preserve"> date on which payment is due.</w:t>
            </w:r>
          </w:p>
          <w:p w:rsidR="007412DD" w:rsidRDefault="001B2D07" w:rsidP="007412DD">
            <w:pPr>
              <w:pStyle w:val="Paragraphedeliste"/>
              <w:widowControl w:val="0"/>
              <w:numPr>
                <w:ilvl w:val="0"/>
                <w:numId w:val="6"/>
              </w:numPr>
              <w:spacing w:after="0" w:line="240" w:lineRule="auto"/>
              <w:jc w:val="both"/>
            </w:pPr>
            <w:r w:rsidRPr="00556939">
              <w:rPr>
                <w:u w:val="single"/>
              </w:rPr>
              <w:lastRenderedPageBreak/>
              <w:t>The other information can</w:t>
            </w:r>
            <w:r w:rsidR="007412DD" w:rsidRPr="00556939">
              <w:rPr>
                <w:u w:val="single"/>
              </w:rPr>
              <w:t xml:space="preserve"> be communicated to the final customers in invoices and billing information or attached to these documents, or</w:t>
            </w:r>
            <w:r w:rsidRPr="00556939">
              <w:rPr>
                <w:u w:val="single"/>
              </w:rPr>
              <w:t xml:space="preserve"> these documents can refer to the suppliers’ website for example</w:t>
            </w:r>
            <w:r>
              <w:t xml:space="preserve">. </w:t>
            </w:r>
          </w:p>
          <w:p w:rsidR="000D6833" w:rsidRDefault="000D6833" w:rsidP="000D6833">
            <w:pPr>
              <w:pStyle w:val="Paragraphedeliste"/>
              <w:widowControl w:val="0"/>
              <w:spacing w:after="0" w:line="240" w:lineRule="auto"/>
              <w:jc w:val="both"/>
            </w:pPr>
            <w:r>
              <w:t xml:space="preserve">(a) electricity consumption for the billing period; </w:t>
            </w:r>
          </w:p>
          <w:p w:rsidR="000D6833" w:rsidRDefault="000D6833" w:rsidP="000D6833">
            <w:pPr>
              <w:pStyle w:val="Paragraphedeliste"/>
              <w:widowControl w:val="0"/>
              <w:spacing w:after="0" w:line="240" w:lineRule="auto"/>
              <w:jc w:val="both"/>
            </w:pPr>
            <w:r>
              <w:t xml:space="preserve">(b) the name and contact details of the supplier, including a consumer support hotline and email address; </w:t>
            </w:r>
          </w:p>
          <w:p w:rsidR="000D6833" w:rsidRDefault="000D6833" w:rsidP="000D6833">
            <w:pPr>
              <w:pStyle w:val="Paragraphedeliste"/>
              <w:widowControl w:val="0"/>
              <w:spacing w:after="0" w:line="240" w:lineRule="auto"/>
              <w:jc w:val="both"/>
            </w:pPr>
            <w:r>
              <w:t xml:space="preserve">(c) the tariff name; </w:t>
            </w:r>
          </w:p>
          <w:p w:rsidR="000D6833" w:rsidRDefault="000D6833" w:rsidP="000D6833">
            <w:pPr>
              <w:pStyle w:val="Paragraphedeliste"/>
              <w:widowControl w:val="0"/>
              <w:spacing w:after="0" w:line="240" w:lineRule="auto"/>
              <w:jc w:val="both"/>
            </w:pPr>
            <w:r>
              <w:t xml:space="preserve">(d) the end date of the contract, if applicable; </w:t>
            </w:r>
          </w:p>
          <w:p w:rsidR="000D6833" w:rsidRDefault="000D6833" w:rsidP="000D6833">
            <w:pPr>
              <w:pStyle w:val="Paragraphedeliste"/>
              <w:widowControl w:val="0"/>
              <w:spacing w:after="0" w:line="240" w:lineRule="auto"/>
              <w:jc w:val="both"/>
            </w:pPr>
            <w:r>
              <w:t>(e) the information on the availability and benefits of switching</w:t>
            </w:r>
            <w:r w:rsidR="000B4924">
              <w:t xml:space="preserve"> (NEW)</w:t>
            </w:r>
            <w:r>
              <w:t xml:space="preserve">; </w:t>
            </w:r>
          </w:p>
          <w:p w:rsidR="000D6833" w:rsidRDefault="000D6833" w:rsidP="000D6833">
            <w:pPr>
              <w:pStyle w:val="Paragraphedeliste"/>
              <w:widowControl w:val="0"/>
              <w:spacing w:after="0" w:line="240" w:lineRule="auto"/>
              <w:jc w:val="both"/>
            </w:pPr>
            <w:r>
              <w:t xml:space="preserve">(f) the final customer's switching code or unique identification code for the final customer's supply point; </w:t>
            </w:r>
          </w:p>
          <w:p w:rsidR="000D6833" w:rsidRDefault="000D6833" w:rsidP="000D6833">
            <w:pPr>
              <w:pStyle w:val="Paragraphedeliste"/>
              <w:widowControl w:val="0"/>
              <w:spacing w:after="0" w:line="240" w:lineRule="auto"/>
              <w:jc w:val="both"/>
            </w:pPr>
            <w:r>
              <w:t xml:space="preserve">(g) information on final customers' rights as regards out-of-court dispute settlement, including the contact details of the entity responsible pursuant </w:t>
            </w:r>
          </w:p>
          <w:p w:rsidR="000D6833" w:rsidRDefault="000D6833" w:rsidP="000D6833">
            <w:pPr>
              <w:pStyle w:val="Paragraphedeliste"/>
              <w:widowControl w:val="0"/>
              <w:spacing w:after="0" w:line="240" w:lineRule="auto"/>
              <w:jc w:val="both"/>
            </w:pPr>
            <w:r>
              <w:t>to Article 26</w:t>
            </w:r>
            <w:r w:rsidR="005217DD">
              <w:t xml:space="preserve"> (NEW)</w:t>
            </w:r>
            <w:r>
              <w:t xml:space="preserve">; </w:t>
            </w:r>
          </w:p>
          <w:p w:rsidR="000D6833" w:rsidRDefault="000D6833" w:rsidP="000D6833">
            <w:pPr>
              <w:pStyle w:val="Paragraphedeliste"/>
              <w:widowControl w:val="0"/>
              <w:spacing w:after="0" w:line="240" w:lineRule="auto"/>
              <w:jc w:val="both"/>
            </w:pPr>
            <w:r>
              <w:t xml:space="preserve">(h) the single point of contact referred to in Article 25; </w:t>
            </w:r>
          </w:p>
          <w:p w:rsidR="000D6833" w:rsidRDefault="000D6833" w:rsidP="000D6833">
            <w:pPr>
              <w:pStyle w:val="Paragraphedeliste"/>
              <w:widowControl w:val="0"/>
              <w:spacing w:after="0" w:line="240" w:lineRule="auto"/>
              <w:jc w:val="both"/>
            </w:pPr>
            <w:r>
              <w:t>(</w:t>
            </w:r>
            <w:proofErr w:type="spellStart"/>
            <w:r>
              <w:t>i</w:t>
            </w:r>
            <w:proofErr w:type="spellEnd"/>
            <w:r>
              <w:t xml:space="preserve">) </w:t>
            </w:r>
            <w:proofErr w:type="gramStart"/>
            <w:r>
              <w:t>a</w:t>
            </w:r>
            <w:proofErr w:type="gramEnd"/>
            <w:r>
              <w:t xml:space="preserve"> link or reference to where comparison tools referred to in Article 14 can be found</w:t>
            </w:r>
            <w:r w:rsidR="005737BA">
              <w:t xml:space="preserve"> (NEW)</w:t>
            </w:r>
            <w:r>
              <w:t>.</w:t>
            </w:r>
          </w:p>
          <w:p w:rsidR="00556939" w:rsidRDefault="00556939" w:rsidP="000D6833">
            <w:pPr>
              <w:pStyle w:val="Paragraphedeliste"/>
              <w:widowControl w:val="0"/>
              <w:spacing w:after="0" w:line="240" w:lineRule="auto"/>
              <w:jc w:val="both"/>
            </w:pPr>
          </w:p>
          <w:p w:rsidR="000D6833" w:rsidRDefault="000D6833" w:rsidP="000D6833">
            <w:pPr>
              <w:pStyle w:val="Paragraphedeliste"/>
              <w:widowControl w:val="0"/>
              <w:numPr>
                <w:ilvl w:val="0"/>
                <w:numId w:val="9"/>
              </w:numPr>
              <w:spacing w:after="0" w:line="240" w:lineRule="auto"/>
              <w:jc w:val="both"/>
            </w:pPr>
            <w:r w:rsidRPr="00556939">
              <w:rPr>
                <w:u w:val="single"/>
              </w:rPr>
              <w:t>Where bills are based on actual consumption or remote reading by the operator, the following information shall be made available to final customers in, with or signposted to within their bills and periodic settlement bills</w:t>
            </w:r>
            <w:r>
              <w:t xml:space="preserve">: </w:t>
            </w:r>
          </w:p>
          <w:p w:rsidR="000D6833" w:rsidRDefault="000D6833" w:rsidP="000D6833">
            <w:pPr>
              <w:pStyle w:val="Paragraphedeliste"/>
              <w:widowControl w:val="0"/>
              <w:spacing w:after="0" w:line="240" w:lineRule="auto"/>
              <w:jc w:val="both"/>
            </w:pPr>
            <w:r>
              <w:t xml:space="preserve">(a) comparisons of the final customer's current electricity consumption with the final customer's consumption for the same period in the previous year in graphic form; </w:t>
            </w:r>
          </w:p>
          <w:p w:rsidR="000D6833" w:rsidRDefault="000D6833" w:rsidP="00556939">
            <w:pPr>
              <w:pStyle w:val="Paragraphedeliste"/>
              <w:widowControl w:val="0"/>
              <w:spacing w:after="0" w:line="240" w:lineRule="auto"/>
              <w:jc w:val="both"/>
            </w:pPr>
            <w:r>
              <w:t xml:space="preserve">(b) contact information for consumer organisations, energy agencies or similar bodies, including website addresses, from which information may be obtained on available energy efficiency improvement measures for energy-using equipment; </w:t>
            </w:r>
          </w:p>
          <w:p w:rsidR="000D6833" w:rsidRDefault="00556939" w:rsidP="00556939">
            <w:pPr>
              <w:pStyle w:val="Paragraphedeliste"/>
              <w:widowControl w:val="0"/>
              <w:spacing w:after="0" w:line="240" w:lineRule="auto"/>
              <w:jc w:val="both"/>
            </w:pPr>
            <w:r>
              <w:t>(</w:t>
            </w:r>
            <w:r w:rsidR="000D6833">
              <w:t xml:space="preserve">c) </w:t>
            </w:r>
            <w:proofErr w:type="gramStart"/>
            <w:r w:rsidR="000D6833">
              <w:t>comparisons</w:t>
            </w:r>
            <w:proofErr w:type="gramEnd"/>
            <w:r w:rsidR="000D6833">
              <w:t xml:space="preserve"> with an average normalised or benchmarked final customer in the same user category.</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rsidRPr="007412DD">
              <w:rPr>
                <w:u w:val="single"/>
              </w:rPr>
              <w:t>The appendix also discusses billing frequency and billing information</w:t>
            </w:r>
            <w:r>
              <w:t>:</w:t>
            </w:r>
          </w:p>
          <w:p w:rsidR="007412DD" w:rsidRDefault="007412DD" w:rsidP="007412DD">
            <w:pPr>
              <w:pStyle w:val="Paragraphedeliste"/>
              <w:widowControl w:val="0"/>
              <w:numPr>
                <w:ilvl w:val="0"/>
                <w:numId w:val="7"/>
              </w:numPr>
              <w:spacing w:after="0" w:line="240" w:lineRule="auto"/>
              <w:jc w:val="both"/>
            </w:pPr>
            <w:r>
              <w:t>Billing is based on actual consumption at least once a year.</w:t>
            </w:r>
          </w:p>
          <w:p w:rsidR="007412DD" w:rsidRDefault="007412DD" w:rsidP="007412DD">
            <w:pPr>
              <w:pStyle w:val="Paragraphedeliste"/>
              <w:widowControl w:val="0"/>
              <w:numPr>
                <w:ilvl w:val="0"/>
                <w:numId w:val="7"/>
              </w:numPr>
              <w:spacing w:after="0" w:line="240" w:lineRule="auto"/>
              <w:jc w:val="both"/>
            </w:pPr>
            <w:r>
              <w:t>Billing information is communicated at different time steps depending on the type of meter (remote reading or not), the electronic billing option.</w:t>
            </w:r>
          </w:p>
          <w:p w:rsidR="007412DD" w:rsidRDefault="007412DD" w:rsidP="007412DD">
            <w:pPr>
              <w:widowControl w:val="0"/>
              <w:spacing w:after="0" w:line="240" w:lineRule="auto"/>
              <w:jc w:val="both"/>
            </w:pPr>
          </w:p>
          <w:p w:rsidR="007412DD" w:rsidRDefault="007412DD" w:rsidP="007412DD">
            <w:pPr>
              <w:widowControl w:val="0"/>
              <w:spacing w:after="0" w:line="240" w:lineRule="auto"/>
              <w:jc w:val="both"/>
            </w:pPr>
            <w:r w:rsidRPr="007412DD">
              <w:rPr>
                <w:u w:val="single"/>
              </w:rPr>
              <w:t>Application</w:t>
            </w:r>
            <w:r>
              <w:t xml:space="preserve">: </w:t>
            </w:r>
          </w:p>
          <w:p w:rsidR="007412DD" w:rsidRDefault="007412DD" w:rsidP="007412DD">
            <w:pPr>
              <w:pStyle w:val="Paragraphedeliste"/>
              <w:widowControl w:val="0"/>
              <w:numPr>
                <w:ilvl w:val="0"/>
                <w:numId w:val="8"/>
              </w:numPr>
              <w:spacing w:after="0" w:line="240" w:lineRule="auto"/>
              <w:jc w:val="both"/>
            </w:pPr>
            <w:r>
              <w:t>The provisions are compatible with the invoice order and the data access decree (for consumers, non-professionals as well as non-</w:t>
            </w:r>
            <w:r w:rsidR="0011706F">
              <w:t>domestic final consumers lower and/or</w:t>
            </w:r>
            <w:r>
              <w:t xml:space="preserve"> equal to 36kva).</w:t>
            </w:r>
          </w:p>
          <w:p w:rsidR="00BD4F5A" w:rsidRDefault="007412DD" w:rsidP="00BD18C8">
            <w:pPr>
              <w:pStyle w:val="Paragraphedeliste"/>
              <w:widowControl w:val="0"/>
              <w:numPr>
                <w:ilvl w:val="0"/>
                <w:numId w:val="8"/>
              </w:numPr>
              <w:spacing w:after="0" w:line="240" w:lineRule="auto"/>
              <w:jc w:val="both"/>
            </w:pPr>
            <w:r>
              <w:t>The provisions apply without distinct</w:t>
            </w:r>
            <w:r w:rsidR="0011706F">
              <w:t>ion between residential market and</w:t>
            </w:r>
            <w:r>
              <w:t xml:space="preserve"> business market (as </w:t>
            </w:r>
            <w:r w:rsidR="003C13AE">
              <w:t xml:space="preserve">in </w:t>
            </w:r>
            <w:r>
              <w:t>the 2009 Directive, less detailed on this topic).</w:t>
            </w:r>
          </w:p>
        </w:tc>
      </w:tr>
    </w:tbl>
    <w:p w:rsidR="00AF783E" w:rsidRDefault="00AF783E">
      <w:pPr>
        <w:sectPr w:rsidR="00AF783E" w:rsidSect="00AF783E">
          <w:pgSz w:w="16838" w:h="11906" w:orient="landscape"/>
          <w:pgMar w:top="1418" w:right="1418" w:bottom="1418" w:left="1418" w:header="709" w:footer="709" w:gutter="0"/>
          <w:pgNumType w:start="1"/>
          <w:cols w:space="720"/>
          <w:docGrid w:linePitch="299"/>
        </w:sectPr>
      </w:pPr>
    </w:p>
    <w:p w:rsidR="00354870" w:rsidRDefault="008E6247">
      <w:pPr>
        <w:numPr>
          <w:ilvl w:val="0"/>
          <w:numId w:val="2"/>
        </w:numPr>
        <w:pBdr>
          <w:top w:val="nil"/>
          <w:left w:val="nil"/>
          <w:bottom w:val="nil"/>
          <w:right w:val="nil"/>
          <w:between w:val="nil"/>
        </w:pBdr>
        <w:jc w:val="both"/>
        <w:rPr>
          <w:b/>
          <w:color w:val="000000"/>
        </w:rPr>
      </w:pPr>
      <w:r>
        <w:rPr>
          <w:b/>
          <w:color w:val="000000"/>
        </w:rPr>
        <w:lastRenderedPageBreak/>
        <w:t>RISK-PREPAREDNESS REGULATION</w:t>
      </w:r>
    </w:p>
    <w:p w:rsidR="00354870" w:rsidRDefault="008E6247" w:rsidP="00E637C4">
      <w:pPr>
        <w:jc w:val="both"/>
      </w:pPr>
      <w:r>
        <w:t>This regulation will provide new common methods for identifying possible electricity crisis scenarios at the national and regional levels. It will ensure more systematic monitoring of security of supply issues through the Electricity Coordination Group. Currently, Member States behave differently in crisis prevention and management, national rules and practices tend to focus only on the national context, without taking into account cross-border effects. Since the sharing of information between Member States is limited, this regulation will therefore take into account circumstances that may affect several Member States simultaneously and incidents that start locally and spread rapidly (for example, a cold wave).</w:t>
      </w:r>
    </w:p>
    <w:p w:rsidR="00354870" w:rsidRDefault="008E6247">
      <w:pPr>
        <w:jc w:val="both"/>
      </w:pPr>
      <w:r>
        <w:rPr>
          <w:u w:val="single"/>
        </w:rPr>
        <w:t>The objectives of the Regulation are</w:t>
      </w:r>
      <w:r>
        <w:t>:</w:t>
      </w:r>
    </w:p>
    <w:p w:rsidR="00354870" w:rsidRDefault="008E6247">
      <w:pPr>
        <w:numPr>
          <w:ilvl w:val="0"/>
          <w:numId w:val="3"/>
        </w:numPr>
        <w:pBdr>
          <w:top w:val="nil"/>
          <w:left w:val="nil"/>
          <w:bottom w:val="nil"/>
          <w:right w:val="nil"/>
          <w:between w:val="nil"/>
        </w:pBdr>
        <w:spacing w:after="0"/>
        <w:jc w:val="both"/>
        <w:rPr>
          <w:color w:val="000000"/>
        </w:rPr>
      </w:pPr>
      <w:r>
        <w:rPr>
          <w:color w:val="000000"/>
        </w:rPr>
        <w:t>To ensure that all Member States put in place appropriate tools to prevent, prepare for and manage crisis situations in the supply of electricity</w:t>
      </w:r>
    </w:p>
    <w:p w:rsidR="00354870" w:rsidRDefault="008E6247">
      <w:pPr>
        <w:numPr>
          <w:ilvl w:val="0"/>
          <w:numId w:val="3"/>
        </w:numPr>
        <w:pBdr>
          <w:top w:val="nil"/>
          <w:left w:val="nil"/>
          <w:bottom w:val="nil"/>
          <w:right w:val="nil"/>
          <w:between w:val="nil"/>
        </w:pBdr>
        <w:jc w:val="both"/>
        <w:rPr>
          <w:color w:val="000000"/>
        </w:rPr>
      </w:pPr>
      <w:r>
        <w:rPr>
          <w:color w:val="000000"/>
        </w:rPr>
        <w:t>Publication by Member States of risk preparedness plans</w:t>
      </w:r>
    </w:p>
    <w:p w:rsidR="00354870" w:rsidRDefault="008E6247">
      <w:pPr>
        <w:jc w:val="both"/>
      </w:pPr>
      <w:r>
        <w:rPr>
          <w:u w:val="single"/>
        </w:rPr>
        <w:t>Consequences</w:t>
      </w:r>
      <w:r>
        <w:t>:</w:t>
      </w:r>
    </w:p>
    <w:p w:rsidR="00354870" w:rsidRDefault="008E6247">
      <w:pPr>
        <w:numPr>
          <w:ilvl w:val="0"/>
          <w:numId w:val="3"/>
        </w:numPr>
        <w:pBdr>
          <w:top w:val="nil"/>
          <w:left w:val="nil"/>
          <w:bottom w:val="nil"/>
          <w:right w:val="nil"/>
          <w:between w:val="nil"/>
        </w:pBdr>
        <w:jc w:val="both"/>
        <w:rPr>
          <w:color w:val="000000"/>
        </w:rPr>
      </w:pPr>
      <w:r>
        <w:rPr>
          <w:color w:val="000000"/>
        </w:rPr>
        <w:t>Better protection of Europeans against blackouts</w:t>
      </w:r>
    </w:p>
    <w:p w:rsidR="00354870" w:rsidRDefault="008E6247">
      <w:pPr>
        <w:jc w:val="both"/>
      </w:pPr>
      <w:r>
        <w:t>This Regulation will entered into force immediately after its publication in the Official Journal of the European Union, 14 June 2019.</w:t>
      </w:r>
    </w:p>
    <w:p w:rsidR="00354870" w:rsidRDefault="008E6247">
      <w:pPr>
        <w:numPr>
          <w:ilvl w:val="0"/>
          <w:numId w:val="2"/>
        </w:numPr>
        <w:pBdr>
          <w:top w:val="nil"/>
          <w:left w:val="nil"/>
          <w:bottom w:val="nil"/>
          <w:right w:val="nil"/>
          <w:between w:val="nil"/>
        </w:pBdr>
        <w:jc w:val="both"/>
        <w:rPr>
          <w:b/>
          <w:color w:val="000000"/>
        </w:rPr>
      </w:pPr>
      <w:r>
        <w:rPr>
          <w:b/>
          <w:color w:val="000000"/>
        </w:rPr>
        <w:t>REGULATION FOR THE AGENCY FOR THE COOPERATION OF ENERGY REGULATORS (ACER)</w:t>
      </w:r>
    </w:p>
    <w:p w:rsidR="00354870" w:rsidRDefault="008E6247" w:rsidP="00E637C4">
      <w:pPr>
        <w:jc w:val="both"/>
      </w:pPr>
      <w:r>
        <w:t>This Regulation will adapt the competences of the Agency for the Cooperation of Energy Regulators (ACER) to the new challenges facing the electricity sector. Currently, the main role of ACER is limited to coordination, advice and follow-up. It provides regulatory oversight of situations involving several Member States. The regulation will provide new powers in the area where fragmented national decisions of cross-border interest would pose problems for the internal energy market. For example, she will oversee future regional entities. National regulators, deciding within ACER, will continue to participate fully in the process.</w:t>
      </w:r>
    </w:p>
    <w:p w:rsidR="00354870" w:rsidRDefault="008E6247">
      <w:pPr>
        <w:jc w:val="both"/>
      </w:pPr>
      <w:r>
        <w:rPr>
          <w:u w:val="single"/>
        </w:rPr>
        <w:t>The objectives of the Regulation is</w:t>
      </w:r>
      <w:r>
        <w:t>:</w:t>
      </w:r>
    </w:p>
    <w:p w:rsidR="00354870" w:rsidRDefault="008E6247">
      <w:pPr>
        <w:numPr>
          <w:ilvl w:val="0"/>
          <w:numId w:val="3"/>
        </w:numPr>
        <w:pBdr>
          <w:top w:val="nil"/>
          <w:left w:val="nil"/>
          <w:bottom w:val="nil"/>
          <w:right w:val="nil"/>
          <w:between w:val="nil"/>
        </w:pBdr>
        <w:jc w:val="both"/>
        <w:rPr>
          <w:color w:val="000000"/>
        </w:rPr>
      </w:pPr>
      <w:r>
        <w:rPr>
          <w:color w:val="000000"/>
        </w:rPr>
        <w:t>To increased role of ACER in the energy market with new skills</w:t>
      </w:r>
    </w:p>
    <w:p w:rsidR="00354870" w:rsidRDefault="008E6247">
      <w:pPr>
        <w:ind w:firstLine="360"/>
        <w:jc w:val="both"/>
      </w:pPr>
      <w:r>
        <w:t>This Regulation entered into force the twentieth day after its publication in the EU Official Journal, 14 June 2019.</w:t>
      </w:r>
    </w:p>
    <w:p w:rsidR="00354870" w:rsidRDefault="008E6247">
      <w:pPr>
        <w:jc w:val="both"/>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88900</wp:posOffset>
                </wp:positionV>
                <wp:extent cx="5734050" cy="19050"/>
                <wp:effectExtent l="0" t="0" r="0" b="0"/>
                <wp:wrapNone/>
                <wp:docPr id="5" name=""/>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88900</wp:posOffset>
                </wp:positionV>
                <wp:extent cx="5734050" cy="19050"/>
                <wp:effectExtent b="0" l="0" r="0" t="0"/>
                <wp:wrapNone/>
                <wp:docPr id="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34050" cy="19050"/>
                        </a:xfrm>
                        <a:prstGeom prst="rect"/>
                        <a:ln/>
                      </pic:spPr>
                    </pic:pic>
                  </a:graphicData>
                </a:graphic>
              </wp:anchor>
            </w:drawing>
          </mc:Fallback>
        </mc:AlternateContent>
      </w:r>
    </w:p>
    <w:p w:rsidR="00354870" w:rsidRDefault="008E6247" w:rsidP="00E637C4">
      <w:pPr>
        <w:jc w:val="both"/>
      </w:pPr>
      <w:r>
        <w:t>To summarize, the Clean Energy Package has three objectives: to focus on energy efficiency, to become the world leader in the field of renewable energy and to adopt equitable measures for the consumer. This Package does not prevent Member States from setting more ambitious requirements.</w:t>
      </w:r>
    </w:p>
    <w:p w:rsidR="00354870" w:rsidRDefault="008E6247" w:rsidP="00E637C4">
      <w:pPr>
        <w:jc w:val="both"/>
      </w:pPr>
      <w:r>
        <w:t xml:space="preserve">The Clean Energy for All Europeans package and all of the new rules have been formally adopted in June 2019. This evolution certainly affect the consumption mediator’s activities because it is linked to consumers’ interests. This is also due to the consumer desire to be independent, to control all the aspects of his consumption, and satisfy his own interests, notably with the self-consumption development. </w:t>
      </w:r>
    </w:p>
    <w:p w:rsidR="00354870" w:rsidRDefault="008E6247" w:rsidP="00E637C4">
      <w:pPr>
        <w:jc w:val="both"/>
      </w:pPr>
      <w:r>
        <w:lastRenderedPageBreak/>
        <w:t>In brief, consumer requirements increase. This will have an influence on their requests. The object, number and nature of complaints are consequently evolving at the same time as the consumer role transform itself. The ombudsmen need to anticipate and participate to these evolutions.</w:t>
      </w:r>
    </w:p>
    <w:p w:rsidR="00354870" w:rsidRDefault="00354870">
      <w:pPr>
        <w:jc w:val="both"/>
      </w:pPr>
    </w:p>
    <w:p w:rsidR="00354870" w:rsidRDefault="008E6247">
      <w:pPr>
        <w:jc w:val="center"/>
      </w:pPr>
      <w:r>
        <w:rPr>
          <w:noProof/>
          <w:lang w:val="fr-FR"/>
        </w:rPr>
        <w:drawing>
          <wp:inline distT="0" distB="0" distL="0" distR="0">
            <wp:extent cx="4279262" cy="4006147"/>
            <wp:effectExtent l="9525" t="9525" r="9525" b="9525"/>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279262" cy="4006147"/>
                    </a:xfrm>
                    <a:prstGeom prst="rect">
                      <a:avLst/>
                    </a:prstGeom>
                    <a:ln w="9525">
                      <a:solidFill>
                        <a:srgbClr val="000000"/>
                      </a:solidFill>
                      <a:prstDash val="solid"/>
                    </a:ln>
                  </pic:spPr>
                </pic:pic>
              </a:graphicData>
            </a:graphic>
          </wp:inline>
        </w:drawing>
      </w:r>
    </w:p>
    <w:p w:rsidR="00354870" w:rsidRPr="007412DD" w:rsidRDefault="008E6247">
      <w:pPr>
        <w:jc w:val="center"/>
        <w:rPr>
          <w:i/>
          <w:sz w:val="16"/>
          <w:szCs w:val="16"/>
          <w:lang w:val="fr-FR"/>
        </w:rPr>
      </w:pPr>
      <w:r w:rsidRPr="007412DD">
        <w:rPr>
          <w:i/>
          <w:sz w:val="16"/>
          <w:szCs w:val="16"/>
          <w:u w:val="single"/>
          <w:lang w:val="fr-FR"/>
        </w:rPr>
        <w:t>Source</w:t>
      </w:r>
      <w:r w:rsidRPr="007412DD">
        <w:rPr>
          <w:i/>
          <w:sz w:val="16"/>
          <w:szCs w:val="16"/>
          <w:lang w:val="fr-FR"/>
        </w:rPr>
        <w:t xml:space="preserve"> : </w:t>
      </w:r>
      <w:r w:rsidRPr="007412DD">
        <w:rPr>
          <w:i/>
          <w:color w:val="0563C1"/>
          <w:sz w:val="16"/>
          <w:szCs w:val="16"/>
          <w:u w:val="single"/>
          <w:lang w:val="fr-FR"/>
        </w:rPr>
        <w:t>https://ec.europa.eu/energy/en/topics/energy-strategy-and-energy-union/clean-energy-all-europeans</w:t>
      </w:r>
    </w:p>
    <w:p w:rsidR="00354870" w:rsidRPr="007412DD" w:rsidRDefault="00354870">
      <w:pPr>
        <w:rPr>
          <w:lang w:val="fr-FR"/>
        </w:rPr>
      </w:pPr>
    </w:p>
    <w:p w:rsidR="00354870" w:rsidRDefault="008E6247">
      <w:pPr>
        <w:jc w:val="both"/>
        <w:rPr>
          <w:b/>
          <w:u w:val="single"/>
        </w:rPr>
      </w:pPr>
      <w:r>
        <w:rPr>
          <w:b/>
          <w:u w:val="single"/>
        </w:rPr>
        <w:t>26 March 2019:</w:t>
      </w:r>
    </w:p>
    <w:p w:rsidR="00354870" w:rsidRDefault="008E6247" w:rsidP="00E637C4">
      <w:pPr>
        <w:jc w:val="both"/>
      </w:pPr>
      <w:r>
        <w:t>The adoption of the market design rules by the European Parliament marks the finalisation of negotiations on the Clean Energy for All Europeans package.</w:t>
      </w:r>
    </w:p>
    <w:p w:rsidR="00354870" w:rsidRDefault="008E6247" w:rsidP="00E637C4">
      <w:pPr>
        <w:jc w:val="both"/>
      </w:pPr>
      <w:r>
        <w:t>The European Parliament completed the parliamentary approval of the new Electricity market Regulation and Electricity market Directive as well as of the Regulations on Risk Preparedness and on the Agency for the Cooperation of Energy Regulators (ACER). Following this parliamentary approval, the Council of Ministers of the EU will have to formally approve the texts of the Directive and three Regulations, after which the new laws will be published in the Official Journal of the Union.</w:t>
      </w:r>
    </w:p>
    <w:p w:rsidR="00354870" w:rsidRDefault="008E6247" w:rsidP="00E637C4">
      <w:pPr>
        <w:jc w:val="both"/>
      </w:pPr>
      <w:bookmarkStart w:id="1" w:name="_GoBack"/>
      <w:bookmarkEnd w:id="1"/>
      <w:r>
        <w:t>New rules making the EU's electricity market fit for the future and putting the consumer at the centre of the energy transition have been signed off by the European Parliament the 26</w:t>
      </w:r>
      <w:r>
        <w:rPr>
          <w:vertAlign w:val="superscript"/>
        </w:rPr>
        <w:t>th</w:t>
      </w:r>
      <w:r>
        <w:t xml:space="preserve"> March 2019.</w:t>
      </w:r>
    </w:p>
    <w:p w:rsidR="00354870" w:rsidRDefault="008E6247">
      <w:pPr>
        <w:jc w:val="both"/>
        <w:rPr>
          <w:color w:val="202020"/>
        </w:rPr>
      </w:pPr>
      <w:r>
        <w:rPr>
          <w:color w:val="202020"/>
        </w:rPr>
        <w:t>This text will strengthen the EU provisions on consumer protection and the right to out-of-court dispute settlement in the electricity sector.</w:t>
      </w:r>
    </w:p>
    <w:p w:rsidR="00354870" w:rsidRDefault="008E6247">
      <w:pPr>
        <w:jc w:val="both"/>
        <w:rPr>
          <w:highlight w:val="yellow"/>
        </w:rPr>
      </w:pPr>
      <w:r>
        <w:rPr>
          <w:color w:val="202020"/>
        </w:rPr>
        <w:t xml:space="preserve">The adopted text requires Member States to ensure that final customers have access to an independent mechanism, such as an energy ombudsman, a consumer body, or a national regulatory authority in order to settle disputes concerning the rights and obligations established under the </w:t>
      </w:r>
      <w:r>
        <w:rPr>
          <w:color w:val="202020"/>
        </w:rPr>
        <w:lastRenderedPageBreak/>
        <w:t>Directive (Article 26 of the Market Design Directive). The Directive therefore extends the remit of dispute-resolution entities towards all customers, including companies and SMEs (Small and Medium Sized Enterprises)</w:t>
      </w:r>
      <w:r>
        <w:rPr>
          <w:b/>
          <w:color w:val="202020"/>
        </w:rPr>
        <w:t>.</w:t>
      </w:r>
      <w:r>
        <w:rPr>
          <w:b/>
          <w:color w:val="202020"/>
        </w:rPr>
        <w:br/>
      </w:r>
    </w:p>
    <w:p w:rsidR="00354870" w:rsidRDefault="008E6247">
      <w:r>
        <w:rPr>
          <w:noProof/>
          <w:lang w:val="fr-FR"/>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63500</wp:posOffset>
                </wp:positionV>
                <wp:extent cx="5772150" cy="12700"/>
                <wp:effectExtent l="0" t="0" r="0" b="0"/>
                <wp:wrapNone/>
                <wp:docPr id="4" name=""/>
                <wp:cNvGraphicFramePr/>
                <a:graphic xmlns:a="http://schemas.openxmlformats.org/drawingml/2006/main">
                  <a:graphicData uri="http://schemas.microsoft.com/office/word/2010/wordprocessingShape">
                    <wps:wsp>
                      <wps:cNvCnPr/>
                      <wps:spPr>
                        <a:xfrm rot="10800000" flipH="1">
                          <a:off x="2459925" y="3775238"/>
                          <a:ext cx="5772150" cy="952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72150" cy="12700"/>
                <wp:effectExtent b="0" l="0" r="0" t="0"/>
                <wp:wrapNone/>
                <wp:docPr id="4"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772150" cy="12700"/>
                        </a:xfrm>
                        <a:prstGeom prst="rect"/>
                        <a:ln/>
                      </pic:spPr>
                    </pic:pic>
                  </a:graphicData>
                </a:graphic>
              </wp:anchor>
            </w:drawing>
          </mc:Fallback>
        </mc:AlternateContent>
      </w:r>
    </w:p>
    <w:p w:rsidR="00354870" w:rsidRDefault="008E6247" w:rsidP="001151D5">
      <w:pPr>
        <w:jc w:val="both"/>
        <w:rPr>
          <w:b/>
          <w:color w:val="000000"/>
        </w:rPr>
      </w:pPr>
      <w:r>
        <w:t xml:space="preserve">In addition to the legislative acts of the package, the Commission also proposed </w:t>
      </w:r>
      <w:r w:rsidR="001151D5">
        <w:rPr>
          <w:b/>
          <w:color w:val="000000"/>
        </w:rPr>
        <w:t>m</w:t>
      </w:r>
      <w:r>
        <w:rPr>
          <w:b/>
          <w:color w:val="000000"/>
        </w:rPr>
        <w:t xml:space="preserve">easures to define and better monitor energy poverty in Europe. </w:t>
      </w:r>
      <w:r>
        <w:t>For example, article 28 of the Electricity Directive 2019/944 states that “</w:t>
      </w:r>
      <w:r>
        <w:rPr>
          <w:i/>
        </w:rPr>
        <w:t>each Member State shall define the concept of vulnerable customers</w:t>
      </w:r>
      <w:r>
        <w:t>” and that is may include “i</w:t>
      </w:r>
      <w:r>
        <w:rPr>
          <w:i/>
        </w:rPr>
        <w:t xml:space="preserve">ncome levels, the share of energy expenditure of disposable income, the energy efficiency of homes, critical </w:t>
      </w:r>
      <w:r w:rsidR="00AF783E">
        <w:rPr>
          <w:i/>
        </w:rPr>
        <w:t>dependence</w:t>
      </w:r>
      <w:r>
        <w:rPr>
          <w:i/>
        </w:rPr>
        <w:t xml:space="preserve"> on electrical equipment for health reasons, age or other criteria</w:t>
      </w:r>
      <w:r>
        <w:t>”. Article 29 of the same Directive states that “</w:t>
      </w:r>
      <w:r>
        <w:rPr>
          <w:i/>
        </w:rPr>
        <w:t>Member States shall establish and publish a set of criteria</w:t>
      </w:r>
      <w:r>
        <w:t xml:space="preserve"> [to define energy poverty], </w:t>
      </w:r>
      <w:r>
        <w:rPr>
          <w:i/>
        </w:rPr>
        <w:t>which may include low income, high expenditure of disposable income on energy and poor energy efficiency</w:t>
      </w:r>
      <w:r>
        <w:t xml:space="preserve">”. </w:t>
      </w:r>
    </w:p>
    <w:p w:rsidR="00354870" w:rsidRDefault="008E6247">
      <w:pPr>
        <w:jc w:val="both"/>
      </w:pPr>
      <w:r>
        <w:rPr>
          <w:b/>
          <w:u w:val="single"/>
        </w:rPr>
        <w:t>For more information</w:t>
      </w:r>
      <w:r>
        <w:t>:</w:t>
      </w:r>
    </w:p>
    <w:p w:rsidR="00354870" w:rsidRDefault="00E637C4" w:rsidP="002518C8">
      <w:pPr>
        <w:numPr>
          <w:ilvl w:val="0"/>
          <w:numId w:val="5"/>
        </w:numPr>
        <w:pBdr>
          <w:top w:val="nil"/>
          <w:left w:val="nil"/>
          <w:bottom w:val="nil"/>
          <w:right w:val="nil"/>
          <w:between w:val="nil"/>
        </w:pBdr>
        <w:spacing w:after="0" w:line="240" w:lineRule="auto"/>
        <w:jc w:val="both"/>
        <w:rPr>
          <w:color w:val="000000"/>
        </w:rPr>
      </w:pPr>
      <w:hyperlink r:id="rId15">
        <w:r w:rsidR="008E6247">
          <w:rPr>
            <w:color w:val="0563C1"/>
            <w:u w:val="single"/>
          </w:rPr>
          <w:t>https://eur-lex.europa.eu/legal-content/EN/TXT/PDF/?uri=CELEX:52016DC0773&amp;from=EN</w:t>
        </w:r>
      </w:hyperlink>
    </w:p>
    <w:p w:rsidR="00354870" w:rsidRDefault="00E637C4" w:rsidP="002518C8">
      <w:pPr>
        <w:numPr>
          <w:ilvl w:val="0"/>
          <w:numId w:val="5"/>
        </w:numPr>
        <w:pBdr>
          <w:top w:val="nil"/>
          <w:left w:val="nil"/>
          <w:bottom w:val="nil"/>
          <w:right w:val="nil"/>
          <w:between w:val="nil"/>
        </w:pBdr>
        <w:spacing w:after="0" w:line="240" w:lineRule="auto"/>
        <w:jc w:val="both"/>
        <w:rPr>
          <w:color w:val="000000"/>
        </w:rPr>
      </w:pPr>
      <w:hyperlink r:id="rId16">
        <w:r w:rsidR="008E6247">
          <w:rPr>
            <w:color w:val="0563C1"/>
            <w:u w:val="single"/>
          </w:rPr>
          <w:t>https://eur-lex.europa.eu/legal-content/EN/TXT/?qid=1485940952728&amp;uri=CELEX:52016DC0763</w:t>
        </w:r>
      </w:hyperlink>
    </w:p>
    <w:p w:rsidR="00354870" w:rsidRDefault="00E637C4" w:rsidP="002518C8">
      <w:pPr>
        <w:numPr>
          <w:ilvl w:val="0"/>
          <w:numId w:val="5"/>
        </w:numPr>
        <w:pBdr>
          <w:top w:val="nil"/>
          <w:left w:val="nil"/>
          <w:bottom w:val="nil"/>
          <w:right w:val="nil"/>
          <w:between w:val="nil"/>
        </w:pBdr>
        <w:spacing w:after="0" w:line="240" w:lineRule="auto"/>
        <w:jc w:val="both"/>
        <w:rPr>
          <w:color w:val="000000"/>
        </w:rPr>
      </w:pPr>
      <w:hyperlink r:id="rId17">
        <w:r w:rsidR="008E6247">
          <w:rPr>
            <w:color w:val="0563C1"/>
            <w:u w:val="single"/>
          </w:rPr>
          <w:t>https://eur-lex.europa.eu/legal-content/EN/TXT/?qid=1490880373856&amp;uri=CELEX:52016DC0766</w:t>
        </w:r>
      </w:hyperlink>
    </w:p>
    <w:p w:rsidR="00354870" w:rsidRDefault="00E637C4" w:rsidP="002518C8">
      <w:pPr>
        <w:numPr>
          <w:ilvl w:val="0"/>
          <w:numId w:val="5"/>
        </w:numPr>
        <w:pBdr>
          <w:top w:val="nil"/>
          <w:left w:val="nil"/>
          <w:bottom w:val="nil"/>
          <w:right w:val="nil"/>
          <w:between w:val="nil"/>
        </w:pBdr>
        <w:spacing w:after="0" w:line="240" w:lineRule="auto"/>
        <w:jc w:val="both"/>
        <w:rPr>
          <w:color w:val="000000"/>
        </w:rPr>
      </w:pPr>
      <w:hyperlink r:id="rId18">
        <w:r w:rsidR="008E6247">
          <w:rPr>
            <w:color w:val="0563C1"/>
            <w:u w:val="single"/>
          </w:rPr>
          <w:t>https://eur-lex.europa.eu/legal-content/EN/TXT/?qid=1485940837646&amp;uri=CELEX:52016DC0769</w:t>
        </w:r>
      </w:hyperlink>
    </w:p>
    <w:p w:rsidR="00354870" w:rsidRP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19">
        <w:r w:rsidR="008E6247">
          <w:rPr>
            <w:color w:val="0563C1"/>
            <w:u w:val="single"/>
          </w:rPr>
          <w:t>https://eur-lex.europa.eu/legal-content/EN/TXT/?qid=1484574061346&amp;uri=CELEX:52016DC0743</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0" w:history="1">
        <w:r w:rsidR="002518C8" w:rsidRPr="00E55981">
          <w:rPr>
            <w:rStyle w:val="Lienhypertexte"/>
          </w:rPr>
          <w:t>https://ec.europa.eu/energy/en/topics/energy-strategy-and-energy-union/clean-energy-all-europeans</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1" w:history="1">
        <w:r w:rsidR="002518C8" w:rsidRPr="00E55981">
          <w:rPr>
            <w:rStyle w:val="Lienhypertexte"/>
          </w:rPr>
          <w:t>https://eur-lex.europa.eu/legal-content/EN/TXT/PDF/?uri=CELEX:32018L0844&amp;from=EN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2" w:history="1">
        <w:r w:rsidR="002518C8" w:rsidRPr="00E55981">
          <w:rPr>
            <w:rStyle w:val="Lienhypertexte"/>
          </w:rPr>
          <w:t>https://eur-lex.europa.eu/legal-content/EN/TXT/PDF/?uri=CELEX:32018L2001&amp;from=EN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3" w:history="1">
        <w:r w:rsidR="002518C8" w:rsidRPr="00E55981">
          <w:rPr>
            <w:rStyle w:val="Lienhypertexte"/>
          </w:rPr>
          <w:t>https://eur-lex.europa.eu/legal-content/EN/TXT/PDF/?uri=CELEX:32018L2002&amp;from=EN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4" w:history="1">
        <w:r w:rsidR="002518C8" w:rsidRPr="00E55981">
          <w:rPr>
            <w:rStyle w:val="Lienhypertexte"/>
          </w:rPr>
          <w:t>https://eur-lex.europa.eu/legal-content/EN/TXT/PDF/?uri=CELEX:32018R1999&amp;from=EN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5" w:history="1">
        <w:r w:rsidR="002518C8" w:rsidRPr="00E55981">
          <w:rPr>
            <w:rStyle w:val="Lienhypertexte"/>
          </w:rPr>
          <w:t>https://eur-lex.europa.eu/legal-content/EN/TXT/PDF/?uri=CELEX:32019R0943&amp;from=EN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6" w:history="1">
        <w:r w:rsidR="002518C8" w:rsidRPr="00E55981">
          <w:rPr>
            <w:rStyle w:val="Lienhypertexte"/>
          </w:rPr>
          <w:t>https://eur-lex.europa.eu/legal-content/EN/TXT/PDF/?uri=CELEX:32019L0944&amp;from=EN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7" w:history="1">
        <w:r w:rsidR="002518C8" w:rsidRPr="00E55981">
          <w:rPr>
            <w:rStyle w:val="Lienhypertexte"/>
          </w:rPr>
          <w:t>https://eur-lex.europa.eu/legal-content/EN/TXT/PDF/?uri=CELEX:32019R0941&amp;from=EN</w:t>
        </w:r>
      </w:hyperlink>
    </w:p>
    <w:p w:rsidR="002518C8" w:rsidRDefault="00E637C4" w:rsidP="002518C8">
      <w:pPr>
        <w:numPr>
          <w:ilvl w:val="0"/>
          <w:numId w:val="5"/>
        </w:numPr>
        <w:pBdr>
          <w:top w:val="nil"/>
          <w:left w:val="nil"/>
          <w:bottom w:val="nil"/>
          <w:right w:val="nil"/>
          <w:between w:val="nil"/>
        </w:pBdr>
        <w:spacing w:after="0" w:line="240" w:lineRule="auto"/>
        <w:jc w:val="both"/>
        <w:rPr>
          <w:color w:val="000000"/>
        </w:rPr>
      </w:pPr>
      <w:hyperlink r:id="rId28" w:history="1">
        <w:r w:rsidR="002518C8" w:rsidRPr="00E55981">
          <w:rPr>
            <w:rStyle w:val="Lienhypertexte"/>
          </w:rPr>
          <w:t>https://eur-lex.europa.eu/legal-content/EN/TXT/PDF/?uri=CELEX:32019R0942&amp;from=EN</w:t>
        </w:r>
      </w:hyperlink>
    </w:p>
    <w:p w:rsidR="002518C8" w:rsidRDefault="002518C8" w:rsidP="002518C8">
      <w:pPr>
        <w:pBdr>
          <w:top w:val="nil"/>
          <w:left w:val="nil"/>
          <w:bottom w:val="nil"/>
          <w:right w:val="nil"/>
          <w:between w:val="nil"/>
        </w:pBdr>
        <w:spacing w:after="0" w:line="240" w:lineRule="auto"/>
        <w:jc w:val="both"/>
        <w:rPr>
          <w:color w:val="000000"/>
        </w:rPr>
      </w:pPr>
    </w:p>
    <w:p w:rsidR="00354870" w:rsidRDefault="00354870">
      <w:pPr>
        <w:jc w:val="both"/>
      </w:pPr>
    </w:p>
    <w:sectPr w:rsidR="00354870" w:rsidSect="00AF783E">
      <w:pgSz w:w="11906" w:h="16838"/>
      <w:pgMar w:top="1417" w:right="1417" w:bottom="1417" w:left="1417"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4AB" w:rsidRDefault="008E6247">
      <w:pPr>
        <w:spacing w:after="0" w:line="240" w:lineRule="auto"/>
      </w:pPr>
      <w:r>
        <w:separator/>
      </w:r>
    </w:p>
  </w:endnote>
  <w:endnote w:type="continuationSeparator" w:id="0">
    <w:p w:rsidR="00A444AB" w:rsidRDefault="008E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870" w:rsidRDefault="008E6247">
    <w:pPr>
      <w:tabs>
        <w:tab w:val="center" w:pos="4550"/>
        <w:tab w:val="left" w:pos="5818"/>
      </w:tabs>
      <w:ind w:right="260"/>
      <w:jc w:val="right"/>
      <w:rPr>
        <w:b/>
        <w:sz w:val="24"/>
        <w:szCs w:val="24"/>
      </w:rPr>
    </w:pPr>
    <w:r>
      <w:rPr>
        <w:b/>
        <w:sz w:val="24"/>
        <w:szCs w:val="24"/>
      </w:rPr>
      <w:t xml:space="preserve">Page </w:t>
    </w:r>
    <w:r>
      <w:rPr>
        <w:b/>
        <w:sz w:val="24"/>
        <w:szCs w:val="24"/>
      </w:rPr>
      <w:fldChar w:fldCharType="begin"/>
    </w:r>
    <w:r>
      <w:rPr>
        <w:b/>
        <w:sz w:val="24"/>
        <w:szCs w:val="24"/>
      </w:rPr>
      <w:instrText>PAGE</w:instrText>
    </w:r>
    <w:r>
      <w:rPr>
        <w:b/>
        <w:sz w:val="24"/>
        <w:szCs w:val="24"/>
      </w:rPr>
      <w:fldChar w:fldCharType="separate"/>
    </w:r>
    <w:r w:rsidR="00E637C4">
      <w:rPr>
        <w:b/>
        <w:noProof/>
        <w:sz w:val="24"/>
        <w:szCs w:val="24"/>
      </w:rPr>
      <w:t>6</w:t>
    </w:r>
    <w:r>
      <w:rPr>
        <w:b/>
        <w:sz w:val="24"/>
        <w:szCs w:val="24"/>
      </w:rPr>
      <w:fldChar w:fldCharType="end"/>
    </w:r>
    <w:r>
      <w:rPr>
        <w:b/>
        <w:sz w:val="24"/>
        <w:szCs w:val="24"/>
      </w:rPr>
      <w:t xml:space="preserve"> | </w:t>
    </w:r>
    <w:r>
      <w:rPr>
        <w:b/>
        <w:sz w:val="24"/>
        <w:szCs w:val="24"/>
      </w:rPr>
      <w:fldChar w:fldCharType="begin"/>
    </w:r>
    <w:r>
      <w:rPr>
        <w:b/>
        <w:sz w:val="24"/>
        <w:szCs w:val="24"/>
      </w:rPr>
      <w:instrText>NUMPAGES</w:instrText>
    </w:r>
    <w:r>
      <w:rPr>
        <w:b/>
        <w:sz w:val="24"/>
        <w:szCs w:val="24"/>
      </w:rPr>
      <w:fldChar w:fldCharType="separate"/>
    </w:r>
    <w:r w:rsidR="00E637C4">
      <w:rPr>
        <w:b/>
        <w:noProof/>
        <w:sz w:val="24"/>
        <w:szCs w:val="24"/>
      </w:rPr>
      <w:t>13</w:t>
    </w:r>
    <w:r>
      <w:rPr>
        <w:b/>
        <w:sz w:val="24"/>
        <w:szCs w:val="24"/>
      </w:rPr>
      <w:fldChar w:fldCharType="end"/>
    </w:r>
  </w:p>
  <w:p w:rsidR="00354870" w:rsidRDefault="0035487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4AB" w:rsidRDefault="008E6247">
      <w:pPr>
        <w:spacing w:after="0" w:line="240" w:lineRule="auto"/>
      </w:pPr>
      <w:r>
        <w:separator/>
      </w:r>
    </w:p>
  </w:footnote>
  <w:footnote w:type="continuationSeparator" w:id="0">
    <w:p w:rsidR="00A444AB" w:rsidRDefault="008E6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E14" w:rsidRPr="00637E14" w:rsidRDefault="00637E14" w:rsidP="00637E14">
    <w:pPr>
      <w:pStyle w:val="En-tte"/>
      <w:jc w:val="right"/>
      <w:rPr>
        <w:b/>
        <w:lang w:val="fr-FR"/>
      </w:rPr>
    </w:pPr>
    <w:r w:rsidRPr="00637E14">
      <w:rPr>
        <w:b/>
        <w:lang w:val="fr-FR"/>
      </w:rPr>
      <w:t>MP/IC</w:t>
    </w:r>
  </w:p>
  <w:p w:rsidR="00637E14" w:rsidRPr="00637E14" w:rsidRDefault="00637E14" w:rsidP="00637E14">
    <w:pPr>
      <w:pStyle w:val="En-tte"/>
      <w:jc w:val="right"/>
      <w:rPr>
        <w:b/>
        <w:lang w:val="fr-FR"/>
      </w:rPr>
    </w:pPr>
    <w:r w:rsidRPr="00637E14">
      <w:rPr>
        <w:b/>
        <w:lang w:val="fr-FR"/>
      </w:rPr>
      <w:t>July 31,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B66"/>
    <w:multiLevelType w:val="multilevel"/>
    <w:tmpl w:val="BC6AA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65FA3"/>
    <w:multiLevelType w:val="multilevel"/>
    <w:tmpl w:val="872650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5E37C6"/>
    <w:multiLevelType w:val="hybridMultilevel"/>
    <w:tmpl w:val="0CB4B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183A7D"/>
    <w:multiLevelType w:val="hybridMultilevel"/>
    <w:tmpl w:val="1BA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1F44CC"/>
    <w:multiLevelType w:val="multilevel"/>
    <w:tmpl w:val="08C4AE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D77E2E"/>
    <w:multiLevelType w:val="multilevel"/>
    <w:tmpl w:val="1B4A3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582180"/>
    <w:multiLevelType w:val="hybridMultilevel"/>
    <w:tmpl w:val="D5688C3C"/>
    <w:lvl w:ilvl="0" w:tplc="E1F89C80">
      <w:start w:val="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9762C5"/>
    <w:multiLevelType w:val="multilevel"/>
    <w:tmpl w:val="B6845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1971F3"/>
    <w:multiLevelType w:val="hybridMultilevel"/>
    <w:tmpl w:val="D1949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5"/>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70"/>
    <w:rsid w:val="0000686E"/>
    <w:rsid w:val="00022A87"/>
    <w:rsid w:val="000B4924"/>
    <w:rsid w:val="000D6833"/>
    <w:rsid w:val="001151D5"/>
    <w:rsid w:val="0011706F"/>
    <w:rsid w:val="001B2D07"/>
    <w:rsid w:val="001D2361"/>
    <w:rsid w:val="002518C8"/>
    <w:rsid w:val="00323E86"/>
    <w:rsid w:val="00354870"/>
    <w:rsid w:val="003C13AE"/>
    <w:rsid w:val="004D3899"/>
    <w:rsid w:val="005217DD"/>
    <w:rsid w:val="00556939"/>
    <w:rsid w:val="005737BA"/>
    <w:rsid w:val="00583D43"/>
    <w:rsid w:val="005C257E"/>
    <w:rsid w:val="00637E14"/>
    <w:rsid w:val="00673D0C"/>
    <w:rsid w:val="007412DD"/>
    <w:rsid w:val="0089092D"/>
    <w:rsid w:val="008E6247"/>
    <w:rsid w:val="0099344C"/>
    <w:rsid w:val="00A444AB"/>
    <w:rsid w:val="00A63EBE"/>
    <w:rsid w:val="00A658A5"/>
    <w:rsid w:val="00AC45AB"/>
    <w:rsid w:val="00AF783E"/>
    <w:rsid w:val="00BD18C8"/>
    <w:rsid w:val="00BD4F5A"/>
    <w:rsid w:val="00CA555A"/>
    <w:rsid w:val="00D13308"/>
    <w:rsid w:val="00DB5057"/>
    <w:rsid w:val="00E637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328EE6-8CEB-478E-9322-69B33DD8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4F"/>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Textedebulles">
    <w:name w:val="Balloon Text"/>
    <w:basedOn w:val="Normal"/>
    <w:link w:val="TextedebullesCar"/>
    <w:uiPriority w:val="99"/>
    <w:semiHidden/>
    <w:unhideWhenUsed/>
    <w:rsid w:val="000A30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033"/>
    <w:rPr>
      <w:rFonts w:ascii="Segoe UI" w:hAnsi="Segoe UI" w:cs="Segoe UI"/>
      <w:sz w:val="18"/>
      <w:szCs w:val="18"/>
    </w:rPr>
  </w:style>
  <w:style w:type="paragraph" w:styleId="En-tte">
    <w:name w:val="header"/>
    <w:basedOn w:val="Normal"/>
    <w:link w:val="En-tteCar"/>
    <w:uiPriority w:val="99"/>
    <w:unhideWhenUsed/>
    <w:rsid w:val="008C56C6"/>
    <w:pPr>
      <w:tabs>
        <w:tab w:val="center" w:pos="4536"/>
        <w:tab w:val="right" w:pos="9072"/>
      </w:tabs>
      <w:spacing w:after="0" w:line="240" w:lineRule="auto"/>
    </w:pPr>
  </w:style>
  <w:style w:type="character" w:customStyle="1" w:styleId="En-tteCar">
    <w:name w:val="En-tête Car"/>
    <w:basedOn w:val="Policepardfaut"/>
    <w:link w:val="En-tte"/>
    <w:uiPriority w:val="99"/>
    <w:rsid w:val="008C56C6"/>
  </w:style>
  <w:style w:type="paragraph" w:styleId="Pieddepage">
    <w:name w:val="footer"/>
    <w:basedOn w:val="Normal"/>
    <w:link w:val="PieddepageCar"/>
    <w:uiPriority w:val="99"/>
    <w:unhideWhenUsed/>
    <w:rsid w:val="008C56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56C6"/>
  </w:style>
  <w:style w:type="paragraph" w:styleId="Paragraphedeliste">
    <w:name w:val="List Paragraph"/>
    <w:basedOn w:val="Normal"/>
    <w:uiPriority w:val="34"/>
    <w:qFormat/>
    <w:rsid w:val="00B2065F"/>
    <w:pPr>
      <w:ind w:left="720"/>
      <w:contextualSpacing/>
    </w:pPr>
  </w:style>
  <w:style w:type="character" w:styleId="Lienhypertexte">
    <w:name w:val="Hyperlink"/>
    <w:basedOn w:val="Policepardfaut"/>
    <w:uiPriority w:val="99"/>
    <w:unhideWhenUsed/>
    <w:rsid w:val="00192C0C"/>
    <w:rPr>
      <w:color w:val="0563C1" w:themeColor="hyperlink"/>
      <w:u w:val="single"/>
    </w:rPr>
  </w:style>
  <w:style w:type="character" w:styleId="lev">
    <w:name w:val="Strong"/>
    <w:basedOn w:val="Policepardfaut"/>
    <w:uiPriority w:val="22"/>
    <w:qFormat/>
    <w:rsid w:val="005A47E1"/>
    <w:rPr>
      <w:b/>
      <w:bC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AC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eur-lex.europa.eu/legal-content/EN/TXT/?qid=1485940837646&amp;uri=CELEX:52016DC0769" TargetMode="External"/><Relationship Id="rId26" Type="http://schemas.openxmlformats.org/officeDocument/2006/relationships/hyperlink" Target="https://eur-lex.europa.eu/legal-content/EN/TXT/PDF/?uri=CELEX:32019L0944&amp;from=EN" TargetMode="External"/><Relationship Id="rId3" Type="http://schemas.openxmlformats.org/officeDocument/2006/relationships/numbering" Target="numbering.xml"/><Relationship Id="rId21" Type="http://schemas.openxmlformats.org/officeDocument/2006/relationships/hyperlink" Target="https://eur-lex.europa.eu/legal-content/EN/TXT/PDF/?uri=CELEX:32018L0844&amp;from=EN"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eur-lex.europa.eu/legal-content/EN/TXT/?qid=1490880373856&amp;uri=CELEX:52016DC0766" TargetMode="External"/><Relationship Id="rId25" Type="http://schemas.openxmlformats.org/officeDocument/2006/relationships/hyperlink" Target="https://eur-lex.europa.eu/legal-content/EN/TXT/PDF/?uri=CELEX:32019R0943&amp;from=EN" TargetMode="External"/><Relationship Id="rId2" Type="http://schemas.openxmlformats.org/officeDocument/2006/relationships/customXml" Target="../customXml/item2.xml"/><Relationship Id="rId16" Type="http://schemas.openxmlformats.org/officeDocument/2006/relationships/hyperlink" Target="https://eur-lex.europa.eu/legal-content/EN/TXT/?qid=1485940952728&amp;uri=CELEX:52016DC0763" TargetMode="External"/><Relationship Id="rId20" Type="http://schemas.openxmlformats.org/officeDocument/2006/relationships/hyperlink" Target="https://ec.europa.eu/energy/en/topics/energy-strategy-and-energy-union/clean-energy-all-europea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eur-lex.europa.eu/legal-content/EN/TXT/PDF/?uri=CELEX:32018R1999&amp;from=EN" TargetMode="External"/><Relationship Id="rId5" Type="http://schemas.openxmlformats.org/officeDocument/2006/relationships/settings" Target="settings.xml"/><Relationship Id="rId15" Type="http://schemas.openxmlformats.org/officeDocument/2006/relationships/hyperlink" Target="https://eur-lex.europa.eu/legal-content/EN/TXT/PDF/?uri=CELEX:52016DC0773&amp;from=EN" TargetMode="External"/><Relationship Id="rId23" Type="http://schemas.openxmlformats.org/officeDocument/2006/relationships/hyperlink" Target="https://eur-lex.europa.eu/legal-content/EN/TXT/PDF/?uri=CELEX:32018L2002&amp;from=EN" TargetMode="External"/><Relationship Id="rId28" Type="http://schemas.openxmlformats.org/officeDocument/2006/relationships/hyperlink" Target="https://eur-lex.europa.eu/legal-content/EN/TXT/PDF/?uri=CELEX:32019R0942&amp;from=EN" TargetMode="External"/><Relationship Id="rId10" Type="http://schemas.openxmlformats.org/officeDocument/2006/relationships/header" Target="header1.xml"/><Relationship Id="rId19" Type="http://schemas.openxmlformats.org/officeDocument/2006/relationships/hyperlink" Target="https://eur-lex.europa.eu/legal-content/EN/TXT/?qid=1484574061346&amp;uri=CELEX:52016DC0743" TargetMode="External"/><Relationship Id="rId4" Type="http://schemas.openxmlformats.org/officeDocument/2006/relationships/styles" Target="styles.xml"/><Relationship Id="rId9" Type="http://schemas.openxmlformats.org/officeDocument/2006/relationships/hyperlink" Target="https://eur-lex.europa.eu/legal-content/EN/TXT/?qid=1399375279076&amp;uri=CELEX:52013DC0762" TargetMode="External"/><Relationship Id="rId14" Type="http://schemas.openxmlformats.org/officeDocument/2006/relationships/image" Target="media/image2.png"/><Relationship Id="rId22" Type="http://schemas.openxmlformats.org/officeDocument/2006/relationships/hyperlink" Target="https://eur-lex.europa.eu/legal-content/EN/TXT/PDF/?uri=CELEX:32018L2001&amp;from=EN" TargetMode="External"/><Relationship Id="rId27" Type="http://schemas.openxmlformats.org/officeDocument/2006/relationships/hyperlink" Target="https://eur-lex.europa.eu/legal-content/EN/TXT/PDF/?uri=CELEX:32019R0941&amp;from=EN"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ZoIzWbmysEVveBbbNxxsRDVMg==">AMUW2mUcu9qyUposz/8Dp3chGxgWCx8mJCj1bX6XlDbiCOEgKSi6T3BL8+7A/r6UdFfUsCgDO6GDB/qzDIDzKBxrN0aYFkGCdTFU0B38ESObImyPlIKqbV5HnakhQ7RSFFuD+zQGHGtk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C8E78F6-8FD7-433C-A337-43F08F9C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4935</Words>
  <Characters>27145</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VALLET Nynoska</dc:creator>
  <cp:lastModifiedBy>PEREZ Mathilde</cp:lastModifiedBy>
  <cp:revision>8</cp:revision>
  <dcterms:created xsi:type="dcterms:W3CDTF">2019-07-31T12:12:00Z</dcterms:created>
  <dcterms:modified xsi:type="dcterms:W3CDTF">2019-07-31T13:44:00Z</dcterms:modified>
</cp:coreProperties>
</file>